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66A96" w14:textId="7BC794DD" w:rsidR="00EE3926" w:rsidRDefault="00EE3926" w:rsidP="001A4097">
      <w:pPr>
        <w:jc w:val="both"/>
      </w:pPr>
    </w:p>
    <w:p w14:paraId="32A6D9DF" w14:textId="460115F4" w:rsidR="00B8798E" w:rsidRDefault="00B8798E" w:rsidP="001A4097">
      <w:pPr>
        <w:jc w:val="both"/>
      </w:pPr>
    </w:p>
    <w:p w14:paraId="32B41898" w14:textId="77777777" w:rsidR="00B8798E" w:rsidRDefault="00B8798E" w:rsidP="001A4097">
      <w:pPr>
        <w:jc w:val="both"/>
      </w:pPr>
    </w:p>
    <w:p w14:paraId="2EF3C985" w14:textId="637DAAC2" w:rsidR="00EF4096" w:rsidRDefault="00EF4096" w:rsidP="001A4097">
      <w:pPr>
        <w:jc w:val="both"/>
      </w:pPr>
    </w:p>
    <w:p w14:paraId="5986C2AA" w14:textId="4C1CEC03" w:rsidR="00B349E0" w:rsidRDefault="00B8798E" w:rsidP="001A4097">
      <w:pPr>
        <w:jc w:val="both"/>
        <w:rPr>
          <w:b/>
          <w:sz w:val="32"/>
          <w:szCs w:val="32"/>
        </w:rPr>
      </w:pPr>
      <w:r>
        <w:rPr>
          <w:b/>
          <w:noProof/>
          <w:sz w:val="32"/>
          <w:szCs w:val="32"/>
          <w:lang w:eastAsia="en-NZ"/>
        </w:rPr>
        <w:drawing>
          <wp:inline distT="0" distB="0" distL="0" distR="0" wp14:anchorId="0C970988" wp14:editId="1955631A">
            <wp:extent cx="5731510" cy="1727248"/>
            <wp:effectExtent l="0" t="0" r="2540" b="6350"/>
            <wp:docPr id="1" name="Picture 1" descr="\\gecko\tianzdata$\Brand and Marketing\TIA\Logo\TIA_Logo_Colour Full\TIA_Logo_Colour 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ko\tianzdata$\Brand and Marketing\TIA\Logo\TIA_Logo_Colour Full\TIA_Logo_Colour Fu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727248"/>
                    </a:xfrm>
                    <a:prstGeom prst="rect">
                      <a:avLst/>
                    </a:prstGeom>
                    <a:noFill/>
                    <a:ln>
                      <a:noFill/>
                    </a:ln>
                  </pic:spPr>
                </pic:pic>
              </a:graphicData>
            </a:graphic>
          </wp:inline>
        </w:drawing>
      </w:r>
    </w:p>
    <w:p w14:paraId="21E6DB50" w14:textId="77777777" w:rsidR="00B349E0" w:rsidRDefault="00B349E0" w:rsidP="001A4097">
      <w:pPr>
        <w:jc w:val="both"/>
        <w:rPr>
          <w:b/>
          <w:sz w:val="32"/>
          <w:szCs w:val="32"/>
        </w:rPr>
      </w:pPr>
    </w:p>
    <w:p w14:paraId="30784097" w14:textId="77777777" w:rsidR="00B349E0" w:rsidRDefault="00B349E0" w:rsidP="001A4097">
      <w:pPr>
        <w:jc w:val="both"/>
        <w:rPr>
          <w:b/>
          <w:sz w:val="32"/>
          <w:szCs w:val="32"/>
        </w:rPr>
      </w:pPr>
    </w:p>
    <w:p w14:paraId="1052A0FF" w14:textId="77777777" w:rsidR="001756A7" w:rsidRDefault="001756A7" w:rsidP="001A4097">
      <w:pPr>
        <w:jc w:val="both"/>
        <w:rPr>
          <w:b/>
          <w:sz w:val="32"/>
          <w:szCs w:val="32"/>
        </w:rPr>
      </w:pPr>
    </w:p>
    <w:p w14:paraId="4CF71CB2" w14:textId="77777777" w:rsidR="001756A7" w:rsidRDefault="001756A7" w:rsidP="001A4097">
      <w:pPr>
        <w:jc w:val="both"/>
        <w:rPr>
          <w:b/>
          <w:sz w:val="32"/>
          <w:szCs w:val="32"/>
        </w:rPr>
      </w:pPr>
    </w:p>
    <w:p w14:paraId="3ABBC874" w14:textId="5F18316F" w:rsidR="00B349E0" w:rsidRPr="00DD500D" w:rsidRDefault="00B349E0" w:rsidP="001A4097">
      <w:pPr>
        <w:jc w:val="both"/>
        <w:rPr>
          <w:rFonts w:ascii="Verdana" w:hAnsi="Verdana"/>
          <w:b/>
          <w:sz w:val="28"/>
          <w:szCs w:val="28"/>
        </w:rPr>
      </w:pPr>
      <w:r w:rsidRPr="00DD500D">
        <w:rPr>
          <w:rFonts w:ascii="Verdana" w:hAnsi="Verdana"/>
          <w:b/>
          <w:sz w:val="28"/>
          <w:szCs w:val="28"/>
        </w:rPr>
        <w:t>Submission to</w:t>
      </w:r>
      <w:r w:rsidR="001B5056">
        <w:rPr>
          <w:rFonts w:ascii="Verdana" w:hAnsi="Verdana"/>
          <w:b/>
          <w:sz w:val="28"/>
          <w:szCs w:val="28"/>
        </w:rPr>
        <w:t xml:space="preserve"> </w:t>
      </w:r>
      <w:r w:rsidR="00BF0491">
        <w:rPr>
          <w:rFonts w:ascii="Verdana" w:hAnsi="Verdana"/>
          <w:b/>
          <w:sz w:val="28"/>
          <w:szCs w:val="28"/>
        </w:rPr>
        <w:t>Auckland Council</w:t>
      </w:r>
    </w:p>
    <w:p w14:paraId="69446EA6" w14:textId="6C949B06" w:rsidR="00B349E0" w:rsidRPr="00DD500D" w:rsidRDefault="00B349E0" w:rsidP="001A4097">
      <w:pPr>
        <w:jc w:val="both"/>
        <w:rPr>
          <w:rFonts w:ascii="Verdana" w:hAnsi="Verdana"/>
          <w:b/>
          <w:sz w:val="28"/>
          <w:szCs w:val="28"/>
        </w:rPr>
      </w:pPr>
      <w:r w:rsidRPr="00DD500D">
        <w:rPr>
          <w:rFonts w:ascii="Verdana" w:hAnsi="Verdana"/>
          <w:b/>
          <w:sz w:val="28"/>
          <w:szCs w:val="28"/>
        </w:rPr>
        <w:t>on the</w:t>
      </w:r>
      <w:r w:rsidR="001B5056">
        <w:rPr>
          <w:rFonts w:ascii="Verdana" w:hAnsi="Verdana"/>
          <w:b/>
          <w:sz w:val="28"/>
          <w:szCs w:val="28"/>
        </w:rPr>
        <w:t xml:space="preserve"> </w:t>
      </w:r>
      <w:r w:rsidR="00854AFE">
        <w:rPr>
          <w:rFonts w:ascii="Verdana" w:hAnsi="Verdana"/>
          <w:b/>
          <w:sz w:val="28"/>
          <w:szCs w:val="28"/>
        </w:rPr>
        <w:t xml:space="preserve">Draft </w:t>
      </w:r>
      <w:r w:rsidR="00DD500D" w:rsidRPr="00DD500D">
        <w:rPr>
          <w:rFonts w:ascii="Verdana" w:hAnsi="Verdana"/>
          <w:b/>
          <w:sz w:val="28"/>
          <w:szCs w:val="28"/>
        </w:rPr>
        <w:t>Long</w:t>
      </w:r>
      <w:r w:rsidR="0098229D">
        <w:rPr>
          <w:rFonts w:ascii="Verdana" w:hAnsi="Verdana"/>
          <w:b/>
          <w:sz w:val="28"/>
          <w:szCs w:val="28"/>
        </w:rPr>
        <w:t>-</w:t>
      </w:r>
      <w:r w:rsidR="00DD500D" w:rsidRPr="00DD500D">
        <w:rPr>
          <w:rFonts w:ascii="Verdana" w:hAnsi="Verdana"/>
          <w:b/>
          <w:sz w:val="28"/>
          <w:szCs w:val="28"/>
        </w:rPr>
        <w:t>Term Plan 20</w:t>
      </w:r>
      <w:r w:rsidR="00BF0491">
        <w:rPr>
          <w:rFonts w:ascii="Verdana" w:hAnsi="Verdana"/>
          <w:b/>
          <w:sz w:val="28"/>
          <w:szCs w:val="28"/>
        </w:rPr>
        <w:t>21</w:t>
      </w:r>
      <w:r w:rsidR="00DD500D" w:rsidRPr="00DD500D">
        <w:rPr>
          <w:rFonts w:ascii="Verdana" w:hAnsi="Verdana"/>
          <w:b/>
          <w:sz w:val="28"/>
          <w:szCs w:val="28"/>
        </w:rPr>
        <w:t>-20</w:t>
      </w:r>
      <w:r w:rsidR="00BF0491">
        <w:rPr>
          <w:rFonts w:ascii="Verdana" w:hAnsi="Verdana"/>
          <w:b/>
          <w:sz w:val="28"/>
          <w:szCs w:val="28"/>
        </w:rPr>
        <w:t>31</w:t>
      </w:r>
    </w:p>
    <w:p w14:paraId="0155BB63" w14:textId="77777777" w:rsidR="00B349E0" w:rsidRPr="00DD500D" w:rsidRDefault="00B349E0" w:rsidP="001A4097">
      <w:pPr>
        <w:jc w:val="both"/>
        <w:rPr>
          <w:rFonts w:ascii="Verdana" w:hAnsi="Verdana"/>
          <w:b/>
          <w:sz w:val="28"/>
          <w:szCs w:val="28"/>
        </w:rPr>
      </w:pPr>
    </w:p>
    <w:p w14:paraId="510279B7" w14:textId="118FE272" w:rsidR="00B349E0" w:rsidRPr="001B5056" w:rsidRDefault="00B349E0" w:rsidP="001A4097">
      <w:pPr>
        <w:jc w:val="both"/>
        <w:rPr>
          <w:rFonts w:ascii="Verdana" w:hAnsi="Verdana"/>
          <w:b/>
          <w:sz w:val="28"/>
          <w:szCs w:val="28"/>
        </w:rPr>
      </w:pPr>
      <w:r w:rsidRPr="001B5056">
        <w:rPr>
          <w:rFonts w:ascii="Verdana" w:hAnsi="Verdana"/>
          <w:b/>
          <w:sz w:val="28"/>
          <w:szCs w:val="28"/>
        </w:rPr>
        <w:t>Dat</w:t>
      </w:r>
      <w:r w:rsidR="00BF0491" w:rsidRPr="001B5056">
        <w:rPr>
          <w:rFonts w:ascii="Verdana" w:hAnsi="Verdana"/>
          <w:b/>
          <w:sz w:val="28"/>
          <w:szCs w:val="28"/>
        </w:rPr>
        <w:t xml:space="preserve">e: </w:t>
      </w:r>
      <w:r w:rsidR="00CA0AB1">
        <w:rPr>
          <w:rFonts w:ascii="Verdana" w:hAnsi="Verdana"/>
          <w:b/>
          <w:sz w:val="28"/>
          <w:szCs w:val="28"/>
        </w:rPr>
        <w:t>22</w:t>
      </w:r>
      <w:r w:rsidR="001B5056" w:rsidRPr="001B5056">
        <w:rPr>
          <w:rFonts w:ascii="Verdana" w:hAnsi="Verdana"/>
          <w:b/>
          <w:sz w:val="28"/>
          <w:szCs w:val="28"/>
        </w:rPr>
        <w:t xml:space="preserve"> March 2021</w:t>
      </w:r>
    </w:p>
    <w:p w14:paraId="67043686" w14:textId="00265985" w:rsidR="00A01C86" w:rsidRPr="00BD76C7" w:rsidRDefault="00B349E0" w:rsidP="00BB43D1">
      <w:pPr>
        <w:contextualSpacing/>
        <w:jc w:val="both"/>
        <w:rPr>
          <w:rFonts w:ascii="Verdana" w:hAnsi="Verdana"/>
          <w:sz w:val="20"/>
          <w:szCs w:val="20"/>
        </w:rPr>
      </w:pPr>
      <w:r>
        <w:br w:type="page"/>
      </w:r>
      <w:r w:rsidR="00A01C86" w:rsidRPr="00B224C4">
        <w:rPr>
          <w:rFonts w:ascii="Verdana" w:hAnsi="Verdana"/>
          <w:sz w:val="20"/>
          <w:szCs w:val="20"/>
        </w:rPr>
        <w:lastRenderedPageBreak/>
        <w:t xml:space="preserve">Tourism Industry Aotearoa (TIA) welcomes the opportunity to comment on </w:t>
      </w:r>
      <w:r w:rsidR="00515240">
        <w:rPr>
          <w:rFonts w:ascii="Verdana" w:hAnsi="Verdana"/>
          <w:sz w:val="20"/>
          <w:szCs w:val="20"/>
        </w:rPr>
        <w:t xml:space="preserve">the </w:t>
      </w:r>
      <w:r w:rsidR="005B40FD">
        <w:rPr>
          <w:rFonts w:ascii="Verdana" w:hAnsi="Verdana"/>
          <w:sz w:val="20"/>
          <w:szCs w:val="20"/>
        </w:rPr>
        <w:t xml:space="preserve">draft </w:t>
      </w:r>
      <w:r w:rsidR="00515240">
        <w:rPr>
          <w:rFonts w:ascii="Verdana" w:hAnsi="Verdana"/>
          <w:sz w:val="20"/>
          <w:szCs w:val="20"/>
        </w:rPr>
        <w:t>Long</w:t>
      </w:r>
      <w:r w:rsidR="00AE60A1">
        <w:rPr>
          <w:rFonts w:ascii="Verdana" w:hAnsi="Verdana"/>
          <w:sz w:val="20"/>
          <w:szCs w:val="20"/>
        </w:rPr>
        <w:t>-</w:t>
      </w:r>
      <w:r w:rsidR="00515240">
        <w:rPr>
          <w:rFonts w:ascii="Verdana" w:hAnsi="Verdana"/>
          <w:sz w:val="20"/>
          <w:szCs w:val="20"/>
        </w:rPr>
        <w:t>Term Plan</w:t>
      </w:r>
      <w:r w:rsidR="00A01C86" w:rsidRPr="00B224C4">
        <w:rPr>
          <w:rFonts w:ascii="Verdana" w:hAnsi="Verdana"/>
          <w:sz w:val="20"/>
          <w:szCs w:val="20"/>
        </w:rPr>
        <w:t xml:space="preserve"> </w:t>
      </w:r>
      <w:r w:rsidR="00515240">
        <w:rPr>
          <w:rFonts w:ascii="Verdana" w:hAnsi="Verdana"/>
          <w:sz w:val="20"/>
          <w:szCs w:val="20"/>
        </w:rPr>
        <w:t>20</w:t>
      </w:r>
      <w:r w:rsidR="00EC1D52">
        <w:rPr>
          <w:rFonts w:ascii="Verdana" w:hAnsi="Verdana"/>
          <w:sz w:val="20"/>
          <w:szCs w:val="20"/>
        </w:rPr>
        <w:t>21</w:t>
      </w:r>
      <w:r w:rsidR="00515240">
        <w:rPr>
          <w:rFonts w:ascii="Verdana" w:hAnsi="Verdana"/>
          <w:sz w:val="20"/>
          <w:szCs w:val="20"/>
        </w:rPr>
        <w:t>-20</w:t>
      </w:r>
      <w:r w:rsidR="00EC1D52">
        <w:rPr>
          <w:rFonts w:ascii="Verdana" w:hAnsi="Verdana"/>
          <w:sz w:val="20"/>
          <w:szCs w:val="20"/>
        </w:rPr>
        <w:t>31</w:t>
      </w:r>
      <w:r w:rsidR="00515240">
        <w:rPr>
          <w:rFonts w:ascii="Verdana" w:hAnsi="Verdana"/>
          <w:sz w:val="20"/>
          <w:szCs w:val="20"/>
        </w:rPr>
        <w:t xml:space="preserve"> </w:t>
      </w:r>
      <w:r w:rsidR="005B40FD">
        <w:rPr>
          <w:rFonts w:ascii="Verdana" w:hAnsi="Verdana"/>
          <w:sz w:val="20"/>
          <w:szCs w:val="20"/>
        </w:rPr>
        <w:t>for</w:t>
      </w:r>
      <w:r w:rsidR="00515240">
        <w:rPr>
          <w:rFonts w:ascii="Verdana" w:hAnsi="Verdana"/>
          <w:sz w:val="20"/>
          <w:szCs w:val="20"/>
        </w:rPr>
        <w:t xml:space="preserve"> </w:t>
      </w:r>
      <w:r w:rsidR="00F95E3D">
        <w:rPr>
          <w:rFonts w:ascii="Verdana" w:hAnsi="Verdana"/>
          <w:sz w:val="20"/>
          <w:szCs w:val="20"/>
        </w:rPr>
        <w:t>Auckland Council</w:t>
      </w:r>
      <w:r w:rsidR="005265B7">
        <w:rPr>
          <w:rFonts w:ascii="Verdana" w:hAnsi="Verdana"/>
          <w:sz w:val="20"/>
          <w:szCs w:val="20"/>
        </w:rPr>
        <w:t>.</w:t>
      </w:r>
      <w:r w:rsidR="00BD76C7">
        <w:rPr>
          <w:rFonts w:ascii="Verdana" w:hAnsi="Verdana"/>
          <w:sz w:val="20"/>
          <w:szCs w:val="20"/>
        </w:rPr>
        <w:t xml:space="preserve"> This submission comprises two </w:t>
      </w:r>
      <w:r w:rsidR="00BD76C7" w:rsidRPr="00BD76C7">
        <w:rPr>
          <w:rFonts w:ascii="Verdana" w:hAnsi="Verdana"/>
          <w:sz w:val="20"/>
          <w:szCs w:val="20"/>
        </w:rPr>
        <w:t>parts. Part One provides a general perspective on to</w:t>
      </w:r>
      <w:r w:rsidR="00BD76C7">
        <w:rPr>
          <w:rFonts w:ascii="Verdana" w:hAnsi="Verdana"/>
          <w:sz w:val="20"/>
          <w:szCs w:val="20"/>
        </w:rPr>
        <w:t>urism at a regional level</w:t>
      </w:r>
      <w:r w:rsidR="00BD76C7" w:rsidRPr="00BD76C7">
        <w:rPr>
          <w:rFonts w:ascii="Verdana" w:hAnsi="Verdana"/>
          <w:sz w:val="20"/>
          <w:szCs w:val="20"/>
        </w:rPr>
        <w:t>. Part Two</w:t>
      </w:r>
      <w:r w:rsidR="00BD76C7">
        <w:rPr>
          <w:rFonts w:ascii="Verdana" w:hAnsi="Verdana"/>
          <w:sz w:val="20"/>
          <w:szCs w:val="20"/>
        </w:rPr>
        <w:t xml:space="preserve"> provides specific feedback on the draft Long-term Plan. </w:t>
      </w:r>
    </w:p>
    <w:p w14:paraId="3DC72284" w14:textId="77777777" w:rsidR="00BB43D1" w:rsidRDefault="00BB43D1" w:rsidP="001A4097">
      <w:pPr>
        <w:jc w:val="both"/>
        <w:rPr>
          <w:rFonts w:ascii="Verdana" w:hAnsi="Verdana"/>
          <w:b/>
          <w:sz w:val="20"/>
          <w:szCs w:val="20"/>
        </w:rPr>
      </w:pPr>
    </w:p>
    <w:p w14:paraId="4E5DB80C" w14:textId="3C630517" w:rsidR="00B349E0" w:rsidRPr="00586173" w:rsidRDefault="00B349E0" w:rsidP="001A4097">
      <w:pPr>
        <w:jc w:val="both"/>
        <w:rPr>
          <w:rFonts w:ascii="Verdana" w:hAnsi="Verdana"/>
          <w:b/>
          <w:sz w:val="20"/>
          <w:szCs w:val="20"/>
        </w:rPr>
      </w:pPr>
      <w:r w:rsidRPr="00586173">
        <w:rPr>
          <w:rFonts w:ascii="Verdana" w:hAnsi="Verdana"/>
          <w:b/>
          <w:sz w:val="20"/>
          <w:szCs w:val="20"/>
        </w:rPr>
        <w:t>INTRODUCTION</w:t>
      </w:r>
    </w:p>
    <w:p w14:paraId="1D91EF87" w14:textId="400C3BC7" w:rsidR="00B349E0" w:rsidRDefault="00392625" w:rsidP="001A4097">
      <w:pPr>
        <w:numPr>
          <w:ilvl w:val="0"/>
          <w:numId w:val="4"/>
        </w:numPr>
        <w:contextualSpacing/>
        <w:jc w:val="both"/>
        <w:rPr>
          <w:rFonts w:ascii="Verdana" w:hAnsi="Verdana"/>
          <w:sz w:val="20"/>
          <w:szCs w:val="20"/>
        </w:rPr>
      </w:pPr>
      <w:r w:rsidRPr="00392625">
        <w:rPr>
          <w:rFonts w:ascii="Verdana" w:hAnsi="Verdana"/>
          <w:sz w:val="20"/>
          <w:szCs w:val="20"/>
        </w:rPr>
        <w:t xml:space="preserve">TIA is the peak body for the tourism industry in New Zealand. With over 1,300 members, TIA represents a range of tourism-related activities including accommodation, adventure &amp; other activities, attractions, hospitality, retail, airports &amp; airlines, transport, as well as related tourism services. </w:t>
      </w:r>
    </w:p>
    <w:p w14:paraId="305E0661" w14:textId="77777777" w:rsidR="003E305E" w:rsidRPr="00392625" w:rsidRDefault="003E305E" w:rsidP="001A4097">
      <w:pPr>
        <w:ind w:left="360"/>
        <w:contextualSpacing/>
        <w:jc w:val="both"/>
        <w:rPr>
          <w:rFonts w:ascii="Verdana" w:hAnsi="Verdana"/>
          <w:sz w:val="20"/>
          <w:szCs w:val="20"/>
        </w:rPr>
      </w:pPr>
    </w:p>
    <w:p w14:paraId="029ED335" w14:textId="7276D2AD" w:rsidR="00B349E0" w:rsidRDefault="00B349E0" w:rsidP="001A4097">
      <w:pPr>
        <w:numPr>
          <w:ilvl w:val="0"/>
          <w:numId w:val="4"/>
        </w:numPr>
        <w:contextualSpacing/>
        <w:jc w:val="both"/>
        <w:rPr>
          <w:rFonts w:ascii="Verdana" w:hAnsi="Verdana"/>
          <w:sz w:val="20"/>
          <w:szCs w:val="20"/>
        </w:rPr>
      </w:pPr>
      <w:r w:rsidRPr="00B224C4">
        <w:rPr>
          <w:rFonts w:ascii="Verdana" w:hAnsi="Verdana"/>
          <w:sz w:val="20"/>
          <w:szCs w:val="20"/>
        </w:rPr>
        <w:t>The primary role of TIA is to be the voice of the tourism industry. This includes working for members on advocacy, policy, communication, events, membership and business capability. The team is based in Wellington and is led by Chief Executive, Chris Roberts.</w:t>
      </w:r>
    </w:p>
    <w:p w14:paraId="537D2764" w14:textId="77777777" w:rsidR="00586173" w:rsidRDefault="00586173" w:rsidP="007A21BE">
      <w:pPr>
        <w:ind w:left="360"/>
        <w:contextualSpacing/>
        <w:jc w:val="both"/>
        <w:rPr>
          <w:rFonts w:ascii="Verdana" w:hAnsi="Verdana"/>
          <w:sz w:val="20"/>
          <w:szCs w:val="20"/>
        </w:rPr>
      </w:pPr>
    </w:p>
    <w:p w14:paraId="3D7E4D80" w14:textId="0A64FD10" w:rsidR="00AF393E" w:rsidRDefault="00B349E0" w:rsidP="00AC0739">
      <w:pPr>
        <w:numPr>
          <w:ilvl w:val="0"/>
          <w:numId w:val="4"/>
        </w:numPr>
        <w:contextualSpacing/>
        <w:jc w:val="both"/>
        <w:rPr>
          <w:rFonts w:ascii="Verdana" w:hAnsi="Verdana"/>
          <w:sz w:val="20"/>
          <w:szCs w:val="20"/>
        </w:rPr>
      </w:pPr>
      <w:r w:rsidRPr="2A7519F7">
        <w:rPr>
          <w:rFonts w:ascii="Verdana" w:hAnsi="Verdana"/>
          <w:sz w:val="20"/>
          <w:szCs w:val="20"/>
        </w:rPr>
        <w:t>Any enquiries relating to this paper should be referred to</w:t>
      </w:r>
      <w:r w:rsidR="00511DC1" w:rsidRPr="2A7519F7">
        <w:rPr>
          <w:rFonts w:ascii="Verdana" w:hAnsi="Verdana"/>
          <w:sz w:val="20"/>
          <w:szCs w:val="20"/>
        </w:rPr>
        <w:t xml:space="preserve"> </w:t>
      </w:r>
      <w:r w:rsidR="00AC0739" w:rsidRPr="00AC0739">
        <w:rPr>
          <w:rFonts w:ascii="Verdana" w:hAnsi="Verdana"/>
          <w:sz w:val="20"/>
          <w:szCs w:val="20"/>
        </w:rPr>
        <w:t>Steve Hanrahan</w:t>
      </w:r>
      <w:r w:rsidRPr="2A7519F7">
        <w:rPr>
          <w:rFonts w:ascii="Verdana" w:hAnsi="Verdana"/>
          <w:sz w:val="20"/>
          <w:szCs w:val="20"/>
        </w:rPr>
        <w:t xml:space="preserve">, TIA </w:t>
      </w:r>
      <w:r w:rsidR="00B546E1" w:rsidRPr="2A7519F7">
        <w:rPr>
          <w:rFonts w:ascii="Verdana" w:hAnsi="Verdana"/>
          <w:sz w:val="20"/>
          <w:szCs w:val="20"/>
        </w:rPr>
        <w:t xml:space="preserve">Advocacy </w:t>
      </w:r>
      <w:r w:rsidR="00AC0739">
        <w:rPr>
          <w:rFonts w:ascii="Verdana" w:hAnsi="Verdana"/>
          <w:sz w:val="20"/>
          <w:szCs w:val="20"/>
        </w:rPr>
        <w:t xml:space="preserve">and Engagement </w:t>
      </w:r>
      <w:r w:rsidR="00AC0739" w:rsidRPr="00F25691">
        <w:rPr>
          <w:rFonts w:ascii="Verdana" w:hAnsi="Verdana"/>
          <w:sz w:val="20"/>
          <w:szCs w:val="20"/>
        </w:rPr>
        <w:t xml:space="preserve">Manager </w:t>
      </w:r>
      <w:r w:rsidRPr="00F25691">
        <w:rPr>
          <w:rFonts w:ascii="Verdana" w:hAnsi="Verdana"/>
          <w:sz w:val="20"/>
          <w:szCs w:val="20"/>
        </w:rPr>
        <w:t xml:space="preserve">at </w:t>
      </w:r>
      <w:hyperlink r:id="rId12" w:history="1">
        <w:r w:rsidR="00AC0739" w:rsidRPr="00F25691">
          <w:rPr>
            <w:rStyle w:val="Hyperlink"/>
            <w:rFonts w:ascii="Verdana" w:hAnsi="Verdana"/>
            <w:color w:val="auto"/>
            <w:sz w:val="20"/>
            <w:szCs w:val="20"/>
            <w:u w:val="none"/>
          </w:rPr>
          <w:t>steve.hanrahan@tia.org.nz</w:t>
        </w:r>
      </w:hyperlink>
      <w:r w:rsidR="00AC0739" w:rsidRPr="00F25691">
        <w:rPr>
          <w:rFonts w:ascii="Verdana" w:hAnsi="Verdana"/>
          <w:sz w:val="20"/>
          <w:szCs w:val="20"/>
        </w:rPr>
        <w:t xml:space="preserve"> </w:t>
      </w:r>
      <w:r w:rsidRPr="2A7519F7">
        <w:rPr>
          <w:rFonts w:ascii="Verdana" w:hAnsi="Verdana"/>
          <w:sz w:val="20"/>
          <w:szCs w:val="20"/>
        </w:rPr>
        <w:t>or by phone on 0</w:t>
      </w:r>
      <w:r w:rsidR="00170F25">
        <w:rPr>
          <w:rFonts w:ascii="Verdana" w:hAnsi="Verdana"/>
          <w:sz w:val="20"/>
          <w:szCs w:val="20"/>
        </w:rPr>
        <w:t xml:space="preserve">27 9122 624. </w:t>
      </w:r>
    </w:p>
    <w:p w14:paraId="5173E31C" w14:textId="68A5A503" w:rsidR="009A7C7F" w:rsidRDefault="009A7C7F" w:rsidP="001A4097">
      <w:pPr>
        <w:jc w:val="both"/>
        <w:rPr>
          <w:rFonts w:ascii="Verdana" w:hAnsi="Verdana"/>
          <w:sz w:val="20"/>
          <w:szCs w:val="20"/>
        </w:rPr>
      </w:pPr>
    </w:p>
    <w:p w14:paraId="395438DC" w14:textId="10644B3B" w:rsidR="009A7C7F" w:rsidRPr="00830E37" w:rsidRDefault="000C733E" w:rsidP="001A4097">
      <w:pPr>
        <w:jc w:val="both"/>
        <w:rPr>
          <w:rFonts w:ascii="Verdana" w:hAnsi="Verdana"/>
          <w:b/>
          <w:sz w:val="20"/>
          <w:szCs w:val="20"/>
        </w:rPr>
      </w:pPr>
      <w:r>
        <w:rPr>
          <w:rFonts w:ascii="Verdana" w:hAnsi="Verdana"/>
          <w:b/>
          <w:sz w:val="20"/>
          <w:szCs w:val="20"/>
        </w:rPr>
        <w:t xml:space="preserve">PART ONE - </w:t>
      </w:r>
      <w:r w:rsidR="009A7C7F" w:rsidRPr="00830E37">
        <w:rPr>
          <w:rFonts w:ascii="Verdana" w:hAnsi="Verdana"/>
          <w:b/>
          <w:sz w:val="20"/>
          <w:szCs w:val="20"/>
        </w:rPr>
        <w:t>T</w:t>
      </w:r>
      <w:r w:rsidR="00830E37">
        <w:rPr>
          <w:rFonts w:ascii="Verdana" w:hAnsi="Verdana"/>
          <w:b/>
          <w:sz w:val="20"/>
          <w:szCs w:val="20"/>
        </w:rPr>
        <w:t>OURISM AND LOCAL GOVERNMENT</w:t>
      </w:r>
      <w:r w:rsidR="009A7C7F" w:rsidRPr="00830E37">
        <w:rPr>
          <w:rFonts w:ascii="Verdana" w:hAnsi="Verdana"/>
          <w:b/>
          <w:sz w:val="20"/>
          <w:szCs w:val="20"/>
        </w:rPr>
        <w:t xml:space="preserve"> </w:t>
      </w:r>
    </w:p>
    <w:p w14:paraId="6F1633CC" w14:textId="1BDBBD2E" w:rsidR="009A7C7F" w:rsidRDefault="009A7C7F" w:rsidP="001A4097">
      <w:pPr>
        <w:numPr>
          <w:ilvl w:val="0"/>
          <w:numId w:val="4"/>
        </w:numPr>
        <w:contextualSpacing/>
        <w:jc w:val="both"/>
        <w:rPr>
          <w:rFonts w:ascii="Verdana" w:hAnsi="Verdana"/>
          <w:sz w:val="20"/>
          <w:szCs w:val="20"/>
        </w:rPr>
      </w:pPr>
      <w:r w:rsidRPr="00E722FC">
        <w:rPr>
          <w:rFonts w:ascii="Verdana" w:hAnsi="Verdana"/>
          <w:sz w:val="20"/>
          <w:szCs w:val="20"/>
        </w:rPr>
        <w:t xml:space="preserve">Tourism takes place in local communities and provides jobs, regional economic </w:t>
      </w:r>
      <w:r w:rsidR="007E3F73">
        <w:rPr>
          <w:rFonts w:ascii="Verdana" w:hAnsi="Verdana"/>
          <w:sz w:val="20"/>
          <w:szCs w:val="20"/>
        </w:rPr>
        <w:t>opportunities</w:t>
      </w:r>
      <w:r w:rsidR="007E3F73" w:rsidRPr="00E722FC">
        <w:rPr>
          <w:rFonts w:ascii="Verdana" w:hAnsi="Verdana"/>
          <w:sz w:val="20"/>
          <w:szCs w:val="20"/>
        </w:rPr>
        <w:t xml:space="preserve"> </w:t>
      </w:r>
      <w:r w:rsidRPr="00E722FC">
        <w:rPr>
          <w:rFonts w:ascii="Verdana" w:hAnsi="Verdana"/>
          <w:sz w:val="20"/>
          <w:szCs w:val="20"/>
        </w:rPr>
        <w:t xml:space="preserve">and vibrancy. We want tourism to provide real benefits to the communities where it operates, and local government has a key role to play in managing and enhancing local tourism experiences. </w:t>
      </w:r>
    </w:p>
    <w:p w14:paraId="0CDB9568" w14:textId="77777777" w:rsidR="00D32A0F" w:rsidRPr="00E722FC" w:rsidRDefault="00D32A0F" w:rsidP="00BB43D1">
      <w:pPr>
        <w:ind w:left="360"/>
        <w:contextualSpacing/>
        <w:jc w:val="both"/>
        <w:rPr>
          <w:rFonts w:ascii="Verdana" w:hAnsi="Verdana"/>
          <w:sz w:val="20"/>
          <w:szCs w:val="20"/>
        </w:rPr>
      </w:pPr>
    </w:p>
    <w:p w14:paraId="41CE1E2F" w14:textId="77777777" w:rsidR="009A7C7F" w:rsidRPr="00E722FC" w:rsidRDefault="009A7C7F" w:rsidP="001A4097">
      <w:pPr>
        <w:numPr>
          <w:ilvl w:val="0"/>
          <w:numId w:val="4"/>
        </w:numPr>
        <w:contextualSpacing/>
        <w:jc w:val="both"/>
        <w:rPr>
          <w:rFonts w:ascii="Verdana" w:hAnsi="Verdana"/>
          <w:sz w:val="20"/>
          <w:szCs w:val="20"/>
        </w:rPr>
      </w:pPr>
      <w:r w:rsidRPr="00E722FC">
        <w:rPr>
          <w:rFonts w:ascii="Verdana" w:hAnsi="Verdana"/>
          <w:sz w:val="20"/>
          <w:szCs w:val="20"/>
        </w:rPr>
        <w:t xml:space="preserve">Tourism was the first industry to be hit by the COVID-19 pandemic and will be one of the last to recover. While the immediate outlook is uncertain, the industry’s longer-term ambitions remain unchanged. TIA’s Tourism 2025 &amp; Beyond, A Sustainable Growth Framework – Kaupapa Whakapakari Tāpoi, sets a vision of ‘Growing a sustainable tourism industry that benefits New Zealanders’. </w:t>
      </w:r>
    </w:p>
    <w:p w14:paraId="08542F60" w14:textId="77777777" w:rsidR="00D32A0F" w:rsidRDefault="00D32A0F" w:rsidP="001A4097">
      <w:pPr>
        <w:ind w:left="360"/>
        <w:contextualSpacing/>
        <w:jc w:val="both"/>
        <w:rPr>
          <w:rFonts w:ascii="Verdana" w:hAnsi="Verdana"/>
          <w:sz w:val="20"/>
          <w:szCs w:val="20"/>
        </w:rPr>
      </w:pPr>
    </w:p>
    <w:p w14:paraId="4238A4B0" w14:textId="77777777" w:rsidR="00A56409" w:rsidRDefault="009A7C7F" w:rsidP="001A4097">
      <w:pPr>
        <w:numPr>
          <w:ilvl w:val="0"/>
          <w:numId w:val="4"/>
        </w:numPr>
        <w:contextualSpacing/>
        <w:jc w:val="both"/>
        <w:rPr>
          <w:rFonts w:ascii="Verdana" w:hAnsi="Verdana"/>
          <w:sz w:val="20"/>
          <w:szCs w:val="20"/>
        </w:rPr>
      </w:pPr>
      <w:r w:rsidRPr="00E722FC">
        <w:rPr>
          <w:rFonts w:ascii="Verdana" w:hAnsi="Verdana"/>
          <w:sz w:val="20"/>
          <w:szCs w:val="20"/>
        </w:rPr>
        <w:t xml:space="preserve">Our view is that central and local government must deploy their resources and work alongside the private sector to revive and then revitalise the tourism industry for the benefit of local communities and Aotearoa. This is a shared opportunity to make bold changes to fix longstanding systemic issues that have compromised our desire to build a truly sustainable tourism future. </w:t>
      </w:r>
    </w:p>
    <w:p w14:paraId="2DBA9846" w14:textId="77777777" w:rsidR="00A56409" w:rsidRDefault="00A56409" w:rsidP="001A4097">
      <w:pPr>
        <w:ind w:left="360"/>
        <w:contextualSpacing/>
        <w:jc w:val="both"/>
        <w:rPr>
          <w:rFonts w:ascii="Verdana" w:hAnsi="Verdana"/>
          <w:sz w:val="20"/>
          <w:szCs w:val="20"/>
        </w:rPr>
      </w:pPr>
    </w:p>
    <w:p w14:paraId="4A91364C" w14:textId="1ACF9275" w:rsidR="00A238F0" w:rsidRPr="00A56409" w:rsidRDefault="00EB570D" w:rsidP="001A4097">
      <w:pPr>
        <w:numPr>
          <w:ilvl w:val="0"/>
          <w:numId w:val="4"/>
        </w:numPr>
        <w:contextualSpacing/>
        <w:jc w:val="both"/>
        <w:rPr>
          <w:rFonts w:ascii="Verdana" w:hAnsi="Verdana"/>
          <w:sz w:val="20"/>
          <w:szCs w:val="20"/>
        </w:rPr>
      </w:pPr>
      <w:r w:rsidRPr="00A56409">
        <w:rPr>
          <w:rFonts w:ascii="Verdana" w:hAnsi="Verdana"/>
          <w:sz w:val="20"/>
          <w:szCs w:val="20"/>
        </w:rPr>
        <w:t xml:space="preserve">In August 2020 </w:t>
      </w:r>
      <w:r w:rsidR="001375E6" w:rsidRPr="00A56409">
        <w:rPr>
          <w:rFonts w:ascii="Verdana" w:hAnsi="Verdana"/>
          <w:sz w:val="20"/>
          <w:szCs w:val="20"/>
        </w:rPr>
        <w:t>TIA wrote to</w:t>
      </w:r>
      <w:r w:rsidRPr="00A56409">
        <w:rPr>
          <w:rFonts w:ascii="Verdana" w:hAnsi="Verdana"/>
          <w:sz w:val="20"/>
          <w:szCs w:val="20"/>
        </w:rPr>
        <w:t xml:space="preserve"> </w:t>
      </w:r>
      <w:r w:rsidR="005265B7">
        <w:rPr>
          <w:rFonts w:ascii="Verdana" w:hAnsi="Verdana"/>
          <w:sz w:val="20"/>
          <w:szCs w:val="20"/>
        </w:rPr>
        <w:t>all</w:t>
      </w:r>
      <w:r w:rsidR="00A10C2A" w:rsidRPr="00A56409">
        <w:rPr>
          <w:rFonts w:ascii="Verdana" w:hAnsi="Verdana"/>
          <w:sz w:val="20"/>
          <w:szCs w:val="20"/>
        </w:rPr>
        <w:t xml:space="preserve"> council</w:t>
      </w:r>
      <w:r w:rsidR="005265B7">
        <w:rPr>
          <w:rFonts w:ascii="Verdana" w:hAnsi="Verdana"/>
          <w:sz w:val="20"/>
          <w:szCs w:val="20"/>
        </w:rPr>
        <w:t>s in New Zealand</w:t>
      </w:r>
      <w:r w:rsidRPr="00A56409">
        <w:rPr>
          <w:rFonts w:ascii="Verdana" w:hAnsi="Verdana"/>
          <w:sz w:val="20"/>
          <w:szCs w:val="20"/>
        </w:rPr>
        <w:t xml:space="preserve"> </w:t>
      </w:r>
      <w:r w:rsidR="00C438CD" w:rsidRPr="00A56409">
        <w:rPr>
          <w:rFonts w:ascii="Verdana" w:hAnsi="Verdana"/>
          <w:sz w:val="20"/>
          <w:szCs w:val="20"/>
        </w:rPr>
        <w:t xml:space="preserve">outlining three </w:t>
      </w:r>
      <w:r w:rsidR="005C4E8C" w:rsidRPr="00A56409">
        <w:rPr>
          <w:rFonts w:ascii="Verdana" w:hAnsi="Verdana"/>
          <w:sz w:val="20"/>
          <w:szCs w:val="20"/>
        </w:rPr>
        <w:t xml:space="preserve">priority </w:t>
      </w:r>
      <w:r w:rsidR="00C438CD" w:rsidRPr="00A56409">
        <w:rPr>
          <w:rFonts w:ascii="Verdana" w:hAnsi="Verdana"/>
          <w:sz w:val="20"/>
          <w:szCs w:val="20"/>
        </w:rPr>
        <w:t xml:space="preserve">areas </w:t>
      </w:r>
      <w:r w:rsidR="005265B7">
        <w:rPr>
          <w:rFonts w:ascii="Verdana" w:hAnsi="Verdana"/>
          <w:sz w:val="20"/>
          <w:szCs w:val="20"/>
        </w:rPr>
        <w:t xml:space="preserve">for </w:t>
      </w:r>
      <w:r w:rsidR="005C4E8C" w:rsidRPr="00A56409">
        <w:rPr>
          <w:rFonts w:ascii="Verdana" w:hAnsi="Verdana"/>
          <w:sz w:val="20"/>
          <w:szCs w:val="20"/>
        </w:rPr>
        <w:t>consider</w:t>
      </w:r>
      <w:r w:rsidR="00A238F0" w:rsidRPr="00A56409">
        <w:rPr>
          <w:rFonts w:ascii="Verdana" w:hAnsi="Verdana"/>
          <w:sz w:val="20"/>
          <w:szCs w:val="20"/>
        </w:rPr>
        <w:t>ation</w:t>
      </w:r>
      <w:r w:rsidR="0099075B">
        <w:rPr>
          <w:rFonts w:ascii="Verdana" w:hAnsi="Verdana"/>
          <w:sz w:val="20"/>
          <w:szCs w:val="20"/>
        </w:rPr>
        <w:t xml:space="preserve"> </w:t>
      </w:r>
      <w:r w:rsidR="00C90095">
        <w:rPr>
          <w:rFonts w:ascii="Verdana" w:hAnsi="Verdana"/>
          <w:sz w:val="20"/>
          <w:szCs w:val="20"/>
        </w:rPr>
        <w:t xml:space="preserve">as they developed </w:t>
      </w:r>
      <w:r w:rsidR="0099075B">
        <w:rPr>
          <w:rFonts w:ascii="Verdana" w:hAnsi="Verdana"/>
          <w:sz w:val="20"/>
          <w:szCs w:val="20"/>
        </w:rPr>
        <w:t xml:space="preserve">their </w:t>
      </w:r>
      <w:r w:rsidR="00C90095">
        <w:rPr>
          <w:rFonts w:ascii="Verdana" w:hAnsi="Verdana"/>
          <w:sz w:val="20"/>
          <w:szCs w:val="20"/>
        </w:rPr>
        <w:t xml:space="preserve">draft </w:t>
      </w:r>
      <w:r w:rsidR="00A238F0" w:rsidRPr="00A56409">
        <w:rPr>
          <w:rFonts w:ascii="Verdana" w:hAnsi="Verdana"/>
          <w:sz w:val="20"/>
          <w:szCs w:val="20"/>
        </w:rPr>
        <w:t>Long-</w:t>
      </w:r>
      <w:r w:rsidR="0015237B">
        <w:rPr>
          <w:rFonts w:ascii="Verdana" w:hAnsi="Verdana"/>
          <w:sz w:val="20"/>
          <w:szCs w:val="20"/>
        </w:rPr>
        <w:t>T</w:t>
      </w:r>
      <w:r w:rsidR="00A238F0" w:rsidRPr="00A56409">
        <w:rPr>
          <w:rFonts w:ascii="Verdana" w:hAnsi="Verdana"/>
          <w:sz w:val="20"/>
          <w:szCs w:val="20"/>
        </w:rPr>
        <w:t>erm Plans</w:t>
      </w:r>
      <w:r w:rsidR="007C55B8">
        <w:rPr>
          <w:rFonts w:ascii="Verdana" w:hAnsi="Verdana"/>
          <w:sz w:val="20"/>
          <w:szCs w:val="20"/>
        </w:rPr>
        <w:t xml:space="preserve"> (LTP)</w:t>
      </w:r>
      <w:r w:rsidR="00054177">
        <w:rPr>
          <w:rFonts w:ascii="Verdana" w:hAnsi="Verdana"/>
          <w:sz w:val="20"/>
          <w:szCs w:val="20"/>
        </w:rPr>
        <w:t xml:space="preserve">. A summary of what we </w:t>
      </w:r>
      <w:r w:rsidR="00966BD9">
        <w:rPr>
          <w:rFonts w:ascii="Verdana" w:hAnsi="Verdana"/>
          <w:sz w:val="20"/>
          <w:szCs w:val="20"/>
        </w:rPr>
        <w:t>asked for follows:</w:t>
      </w:r>
    </w:p>
    <w:p w14:paraId="3FDCEAF5" w14:textId="5689BBD5" w:rsidR="00A238F0" w:rsidRDefault="00A238F0" w:rsidP="001A4097">
      <w:pPr>
        <w:ind w:left="360"/>
        <w:contextualSpacing/>
        <w:jc w:val="both"/>
        <w:rPr>
          <w:rFonts w:ascii="Verdana" w:hAnsi="Verdana"/>
          <w:sz w:val="20"/>
          <w:szCs w:val="20"/>
        </w:rPr>
      </w:pPr>
    </w:p>
    <w:p w14:paraId="484ADB50" w14:textId="73BA303F" w:rsidR="005B1A06" w:rsidRDefault="005B1A06" w:rsidP="001A4097">
      <w:pPr>
        <w:pStyle w:val="Default"/>
        <w:jc w:val="both"/>
        <w:rPr>
          <w:i/>
          <w:iCs/>
          <w:color w:val="auto"/>
          <w:sz w:val="20"/>
          <w:szCs w:val="20"/>
        </w:rPr>
      </w:pPr>
    </w:p>
    <w:p w14:paraId="48D9C9C9" w14:textId="77777777" w:rsidR="003C3FAC" w:rsidRDefault="003C3FAC" w:rsidP="001A4097">
      <w:pPr>
        <w:pStyle w:val="Default"/>
        <w:jc w:val="both"/>
        <w:rPr>
          <w:i/>
          <w:iCs/>
          <w:color w:val="auto"/>
          <w:sz w:val="20"/>
          <w:szCs w:val="20"/>
        </w:rPr>
      </w:pPr>
    </w:p>
    <w:p w14:paraId="52EDF43B" w14:textId="77777777" w:rsidR="0084282D" w:rsidRPr="0084282D" w:rsidRDefault="0084282D" w:rsidP="0084282D">
      <w:pPr>
        <w:pStyle w:val="Default"/>
        <w:jc w:val="both"/>
        <w:rPr>
          <w:i/>
          <w:iCs/>
          <w:color w:val="auto"/>
          <w:sz w:val="20"/>
          <w:szCs w:val="20"/>
        </w:rPr>
      </w:pPr>
    </w:p>
    <w:p w14:paraId="1907E08F" w14:textId="325D81D7" w:rsidR="00A238F0" w:rsidRPr="00E722FC" w:rsidRDefault="005B1A06" w:rsidP="001A4097">
      <w:pPr>
        <w:pStyle w:val="Default"/>
        <w:jc w:val="both"/>
        <w:rPr>
          <w:color w:val="auto"/>
          <w:sz w:val="20"/>
          <w:szCs w:val="20"/>
        </w:rPr>
      </w:pPr>
      <w:r>
        <w:rPr>
          <w:i/>
          <w:iCs/>
          <w:color w:val="auto"/>
          <w:sz w:val="20"/>
          <w:szCs w:val="20"/>
        </w:rPr>
        <w:lastRenderedPageBreak/>
        <w:t>S</w:t>
      </w:r>
      <w:r w:rsidR="00A238F0" w:rsidRPr="00E722FC">
        <w:rPr>
          <w:i/>
          <w:iCs/>
          <w:color w:val="auto"/>
          <w:sz w:val="20"/>
          <w:szCs w:val="20"/>
        </w:rPr>
        <w:t xml:space="preserve">upport for Destination Management Plans </w:t>
      </w:r>
    </w:p>
    <w:p w14:paraId="5E3E8CAA" w14:textId="77777777" w:rsidR="00A238F0" w:rsidRPr="00E722FC" w:rsidRDefault="00A238F0" w:rsidP="001A4097">
      <w:pPr>
        <w:pStyle w:val="Default"/>
        <w:jc w:val="both"/>
        <w:rPr>
          <w:color w:val="auto"/>
          <w:sz w:val="20"/>
          <w:szCs w:val="20"/>
        </w:rPr>
      </w:pPr>
    </w:p>
    <w:p w14:paraId="20A730DF" w14:textId="180B8EE9" w:rsidR="00A238F0" w:rsidRDefault="00A238F0" w:rsidP="001A4097">
      <w:pPr>
        <w:numPr>
          <w:ilvl w:val="0"/>
          <w:numId w:val="4"/>
        </w:numPr>
        <w:contextualSpacing/>
        <w:jc w:val="both"/>
        <w:rPr>
          <w:rFonts w:ascii="Verdana" w:hAnsi="Verdana"/>
          <w:sz w:val="20"/>
          <w:szCs w:val="20"/>
        </w:rPr>
      </w:pPr>
      <w:r w:rsidRPr="00E722FC">
        <w:rPr>
          <w:rFonts w:ascii="Verdana" w:hAnsi="Verdana"/>
          <w:sz w:val="20"/>
          <w:szCs w:val="20"/>
        </w:rPr>
        <w:t xml:space="preserve">In order for your region to get maximum benefit from tourism, your tourism proposition must be community driven, align with national sustainable tourism goals and present a high quality offering that appeals to both international and domestic visitors. Destinations are a collection of interests (including local government, iwi, communities and business), meaning that coordination and destination planning is needed to deliver the best outcomes both for host communities and visitors. </w:t>
      </w:r>
    </w:p>
    <w:p w14:paraId="0E764AD4" w14:textId="77777777" w:rsidR="00A871C9" w:rsidRDefault="00A871C9" w:rsidP="00A871C9">
      <w:pPr>
        <w:ind w:left="360"/>
        <w:contextualSpacing/>
        <w:jc w:val="both"/>
        <w:rPr>
          <w:rFonts w:ascii="Verdana" w:hAnsi="Verdana"/>
          <w:sz w:val="20"/>
          <w:szCs w:val="20"/>
        </w:rPr>
      </w:pPr>
    </w:p>
    <w:p w14:paraId="4083B6E0" w14:textId="53327E3B" w:rsidR="00A871C9" w:rsidRDefault="00A871C9" w:rsidP="001A4097">
      <w:pPr>
        <w:numPr>
          <w:ilvl w:val="0"/>
          <w:numId w:val="4"/>
        </w:numPr>
        <w:contextualSpacing/>
        <w:jc w:val="both"/>
        <w:rPr>
          <w:rFonts w:ascii="Verdana" w:hAnsi="Verdana"/>
          <w:sz w:val="20"/>
          <w:szCs w:val="20"/>
        </w:rPr>
      </w:pPr>
      <w:r>
        <w:rPr>
          <w:rFonts w:ascii="Verdana" w:hAnsi="Verdana"/>
          <w:sz w:val="20"/>
          <w:szCs w:val="20"/>
        </w:rPr>
        <w:t xml:space="preserve">We acknowledge the </w:t>
      </w:r>
      <w:r w:rsidR="00654C22">
        <w:rPr>
          <w:rFonts w:ascii="Verdana" w:hAnsi="Verdana"/>
          <w:sz w:val="20"/>
          <w:szCs w:val="20"/>
        </w:rPr>
        <w:t xml:space="preserve">very good </w:t>
      </w:r>
      <w:r>
        <w:rPr>
          <w:rFonts w:ascii="Verdana" w:hAnsi="Verdana"/>
          <w:sz w:val="20"/>
          <w:szCs w:val="20"/>
        </w:rPr>
        <w:t xml:space="preserve">work </w:t>
      </w:r>
      <w:r w:rsidR="00A75CFC">
        <w:rPr>
          <w:rFonts w:ascii="Verdana" w:hAnsi="Verdana"/>
          <w:sz w:val="20"/>
          <w:szCs w:val="20"/>
        </w:rPr>
        <w:t xml:space="preserve">done by Auckland Unlimited </w:t>
      </w:r>
      <w:r w:rsidR="00654C22">
        <w:rPr>
          <w:rFonts w:ascii="Verdana" w:hAnsi="Verdana"/>
          <w:sz w:val="20"/>
          <w:szCs w:val="20"/>
        </w:rPr>
        <w:t>in the d</w:t>
      </w:r>
      <w:r w:rsidR="00A75CFC">
        <w:rPr>
          <w:rFonts w:ascii="Verdana" w:hAnsi="Verdana"/>
          <w:sz w:val="20"/>
          <w:szCs w:val="20"/>
        </w:rPr>
        <w:t>evelop</w:t>
      </w:r>
      <w:r w:rsidR="00654C22">
        <w:rPr>
          <w:rFonts w:ascii="Verdana" w:hAnsi="Verdana"/>
          <w:sz w:val="20"/>
          <w:szCs w:val="20"/>
        </w:rPr>
        <w:t>ment of Destination AKL 2025</w:t>
      </w:r>
      <w:r w:rsidR="00F36C82">
        <w:rPr>
          <w:rFonts w:ascii="Verdana" w:hAnsi="Verdana"/>
          <w:sz w:val="20"/>
          <w:szCs w:val="20"/>
        </w:rPr>
        <w:t xml:space="preserve">, setting a new direction for Auckland’s visitor economy. </w:t>
      </w:r>
      <w:r w:rsidR="00E54DDF">
        <w:rPr>
          <w:rFonts w:ascii="Verdana" w:hAnsi="Verdana"/>
          <w:sz w:val="20"/>
          <w:szCs w:val="20"/>
        </w:rPr>
        <w:t xml:space="preserve">There was </w:t>
      </w:r>
      <w:r w:rsidR="00A06485">
        <w:rPr>
          <w:rFonts w:ascii="Verdana" w:hAnsi="Verdana"/>
          <w:sz w:val="20"/>
          <w:szCs w:val="20"/>
        </w:rPr>
        <w:t xml:space="preserve">a </w:t>
      </w:r>
      <w:r w:rsidR="00E54DDF">
        <w:rPr>
          <w:rFonts w:ascii="Verdana" w:hAnsi="Verdana"/>
          <w:sz w:val="20"/>
          <w:szCs w:val="20"/>
        </w:rPr>
        <w:t>strong collaborati</w:t>
      </w:r>
      <w:r w:rsidR="00A06485">
        <w:rPr>
          <w:rFonts w:ascii="Verdana" w:hAnsi="Verdana"/>
          <w:sz w:val="20"/>
          <w:szCs w:val="20"/>
        </w:rPr>
        <w:t>ve approach</w:t>
      </w:r>
      <w:r w:rsidR="00E54DDF">
        <w:rPr>
          <w:rFonts w:ascii="Verdana" w:hAnsi="Verdana"/>
          <w:sz w:val="20"/>
          <w:szCs w:val="20"/>
        </w:rPr>
        <w:t xml:space="preserve"> in the </w:t>
      </w:r>
      <w:r w:rsidR="00C760B6">
        <w:rPr>
          <w:rFonts w:ascii="Verdana" w:hAnsi="Verdana"/>
          <w:sz w:val="20"/>
          <w:szCs w:val="20"/>
        </w:rPr>
        <w:t xml:space="preserve">development of the </w:t>
      </w:r>
      <w:r w:rsidR="00E05D2F">
        <w:rPr>
          <w:rFonts w:ascii="Verdana" w:hAnsi="Verdana"/>
          <w:sz w:val="20"/>
          <w:szCs w:val="20"/>
        </w:rPr>
        <w:t>region</w:t>
      </w:r>
      <w:r w:rsidR="004135CA">
        <w:rPr>
          <w:rFonts w:ascii="Verdana" w:hAnsi="Verdana"/>
          <w:sz w:val="20"/>
          <w:szCs w:val="20"/>
        </w:rPr>
        <w:t>’</w:t>
      </w:r>
      <w:r w:rsidR="00E05D2F">
        <w:rPr>
          <w:rFonts w:ascii="Verdana" w:hAnsi="Verdana"/>
          <w:sz w:val="20"/>
          <w:szCs w:val="20"/>
        </w:rPr>
        <w:t xml:space="preserve">s </w:t>
      </w:r>
      <w:r w:rsidR="004135CA">
        <w:rPr>
          <w:rFonts w:ascii="Verdana" w:hAnsi="Verdana"/>
          <w:sz w:val="20"/>
          <w:szCs w:val="20"/>
        </w:rPr>
        <w:t>D</w:t>
      </w:r>
      <w:r w:rsidR="007A2791">
        <w:rPr>
          <w:rFonts w:ascii="Verdana" w:hAnsi="Verdana"/>
          <w:sz w:val="20"/>
          <w:szCs w:val="20"/>
        </w:rPr>
        <w:t xml:space="preserve">estination </w:t>
      </w:r>
      <w:r w:rsidR="004135CA">
        <w:rPr>
          <w:rFonts w:ascii="Verdana" w:hAnsi="Verdana"/>
          <w:sz w:val="20"/>
          <w:szCs w:val="20"/>
        </w:rPr>
        <w:t>M</w:t>
      </w:r>
      <w:r w:rsidR="007A2791">
        <w:rPr>
          <w:rFonts w:ascii="Verdana" w:hAnsi="Verdana"/>
          <w:sz w:val="20"/>
          <w:szCs w:val="20"/>
        </w:rPr>
        <w:t>anagement</w:t>
      </w:r>
      <w:r w:rsidR="00A06485">
        <w:rPr>
          <w:rFonts w:ascii="Verdana" w:hAnsi="Verdana"/>
          <w:sz w:val="20"/>
          <w:szCs w:val="20"/>
        </w:rPr>
        <w:t xml:space="preserve"> </w:t>
      </w:r>
      <w:r w:rsidR="004135CA">
        <w:rPr>
          <w:rFonts w:ascii="Verdana" w:hAnsi="Verdana"/>
          <w:sz w:val="20"/>
          <w:szCs w:val="20"/>
        </w:rPr>
        <w:t>P</w:t>
      </w:r>
      <w:r w:rsidR="00A06485">
        <w:rPr>
          <w:rFonts w:ascii="Verdana" w:hAnsi="Verdana"/>
          <w:sz w:val="20"/>
          <w:szCs w:val="20"/>
        </w:rPr>
        <w:t xml:space="preserve">lan, working closely with </w:t>
      </w:r>
      <w:r w:rsidR="002F1C29">
        <w:rPr>
          <w:rFonts w:ascii="Verdana" w:hAnsi="Verdana"/>
          <w:sz w:val="20"/>
          <w:szCs w:val="20"/>
        </w:rPr>
        <w:t>tourism stakeholders.</w:t>
      </w:r>
    </w:p>
    <w:p w14:paraId="0F907388" w14:textId="77777777" w:rsidR="005B1A06" w:rsidRPr="00E722FC" w:rsidRDefault="005B1A06" w:rsidP="001A4097">
      <w:pPr>
        <w:ind w:left="360"/>
        <w:contextualSpacing/>
        <w:jc w:val="both"/>
        <w:rPr>
          <w:rFonts w:ascii="Verdana" w:hAnsi="Verdana"/>
          <w:sz w:val="20"/>
          <w:szCs w:val="20"/>
        </w:rPr>
      </w:pPr>
    </w:p>
    <w:p w14:paraId="3A10E925" w14:textId="33ACE147" w:rsidR="00A238F0" w:rsidRPr="00E722FC" w:rsidRDefault="00A238F0" w:rsidP="001A4097">
      <w:pPr>
        <w:numPr>
          <w:ilvl w:val="0"/>
          <w:numId w:val="4"/>
        </w:numPr>
        <w:contextualSpacing/>
        <w:jc w:val="both"/>
        <w:rPr>
          <w:rFonts w:ascii="Verdana" w:hAnsi="Verdana"/>
          <w:sz w:val="20"/>
          <w:szCs w:val="20"/>
        </w:rPr>
      </w:pPr>
      <w:r w:rsidRPr="00E722FC">
        <w:rPr>
          <w:rFonts w:ascii="Verdana" w:hAnsi="Verdana"/>
          <w:sz w:val="20"/>
          <w:szCs w:val="20"/>
        </w:rPr>
        <w:t xml:space="preserve">This is the most important thing councils can do – look after and invest in the quality of your region as a destination. You must reflect the desires of your community and this includes the voice of tourism operators, which must be strongly represented in these Plans. </w:t>
      </w:r>
    </w:p>
    <w:p w14:paraId="386F5D7E" w14:textId="77777777" w:rsidR="00740C7D" w:rsidRDefault="00740C7D" w:rsidP="001A4097">
      <w:pPr>
        <w:ind w:left="360"/>
        <w:contextualSpacing/>
        <w:jc w:val="both"/>
        <w:rPr>
          <w:rFonts w:ascii="Verdana" w:hAnsi="Verdana"/>
          <w:sz w:val="20"/>
          <w:szCs w:val="20"/>
        </w:rPr>
      </w:pPr>
    </w:p>
    <w:p w14:paraId="1255308E" w14:textId="19BC965F" w:rsidR="00A238F0" w:rsidRPr="00E722FC" w:rsidRDefault="00A238F0" w:rsidP="001A4097">
      <w:pPr>
        <w:pStyle w:val="Default"/>
        <w:jc w:val="both"/>
        <w:rPr>
          <w:color w:val="auto"/>
          <w:sz w:val="20"/>
          <w:szCs w:val="20"/>
        </w:rPr>
      </w:pPr>
      <w:r w:rsidRPr="00E722FC">
        <w:rPr>
          <w:i/>
          <w:iCs/>
          <w:color w:val="auto"/>
          <w:sz w:val="20"/>
          <w:szCs w:val="20"/>
        </w:rPr>
        <w:t xml:space="preserve">Keep costs down </w:t>
      </w:r>
    </w:p>
    <w:p w14:paraId="693483F0" w14:textId="77777777" w:rsidR="00A238F0" w:rsidRPr="00E722FC" w:rsidRDefault="00A238F0" w:rsidP="001A4097">
      <w:pPr>
        <w:pStyle w:val="Default"/>
        <w:jc w:val="both"/>
        <w:rPr>
          <w:color w:val="auto"/>
          <w:sz w:val="20"/>
          <w:szCs w:val="20"/>
        </w:rPr>
      </w:pPr>
    </w:p>
    <w:p w14:paraId="1EB66B8D" w14:textId="0D32F2CD" w:rsidR="00A238F0" w:rsidRPr="00E722FC" w:rsidRDefault="00740C7D" w:rsidP="001A4097">
      <w:pPr>
        <w:numPr>
          <w:ilvl w:val="0"/>
          <w:numId w:val="4"/>
        </w:numPr>
        <w:contextualSpacing/>
        <w:jc w:val="both"/>
        <w:rPr>
          <w:rFonts w:ascii="Verdana" w:hAnsi="Verdana"/>
          <w:sz w:val="20"/>
          <w:szCs w:val="20"/>
        </w:rPr>
      </w:pPr>
      <w:r>
        <w:rPr>
          <w:rFonts w:ascii="Verdana" w:hAnsi="Verdana"/>
          <w:sz w:val="20"/>
          <w:szCs w:val="20"/>
        </w:rPr>
        <w:t>B</w:t>
      </w:r>
      <w:r w:rsidR="00A238F0" w:rsidRPr="00E722FC">
        <w:rPr>
          <w:rFonts w:ascii="Verdana" w:hAnsi="Verdana"/>
          <w:sz w:val="20"/>
          <w:szCs w:val="20"/>
        </w:rPr>
        <w:t xml:space="preserve">usinesses are key to the economic health and vibrancy of a city, town and region. Tourism businesses typically bring significant cashflow and investment to a region through attracting both international and domestic visitors. These same businesses are now struggling to keep their lights on and trading conditions will be tough for the foreseeable future. </w:t>
      </w:r>
    </w:p>
    <w:p w14:paraId="3308273E" w14:textId="77777777" w:rsidR="001C75CC" w:rsidRDefault="001C75CC" w:rsidP="001A4097">
      <w:pPr>
        <w:ind w:left="360"/>
        <w:contextualSpacing/>
        <w:jc w:val="both"/>
        <w:rPr>
          <w:rFonts w:ascii="Verdana" w:hAnsi="Verdana"/>
          <w:sz w:val="20"/>
          <w:szCs w:val="20"/>
        </w:rPr>
      </w:pPr>
    </w:p>
    <w:p w14:paraId="5748C023" w14:textId="3D122334" w:rsidR="00A238F0" w:rsidRPr="00E722FC" w:rsidRDefault="00A238F0" w:rsidP="001A4097">
      <w:pPr>
        <w:numPr>
          <w:ilvl w:val="0"/>
          <w:numId w:val="4"/>
        </w:numPr>
        <w:contextualSpacing/>
        <w:jc w:val="both"/>
        <w:rPr>
          <w:rFonts w:ascii="Verdana" w:hAnsi="Verdana"/>
          <w:sz w:val="20"/>
          <w:szCs w:val="20"/>
        </w:rPr>
      </w:pPr>
      <w:r w:rsidRPr="00E722FC">
        <w:rPr>
          <w:rFonts w:ascii="Verdana" w:hAnsi="Verdana"/>
          <w:sz w:val="20"/>
          <w:szCs w:val="20"/>
        </w:rPr>
        <w:t xml:space="preserve">We acknowledge that councils themselves are facing reduced income as a result of COVID at a time when there needs to be ongoing investment to maintain and enhance the local mixed-use infrastructure used by both locals and visitors </w:t>
      </w:r>
      <w:r w:rsidR="00A674E0">
        <w:rPr>
          <w:rFonts w:ascii="Verdana" w:hAnsi="Verdana"/>
          <w:sz w:val="20"/>
          <w:szCs w:val="20"/>
        </w:rPr>
        <w:t>including</w:t>
      </w:r>
      <w:r w:rsidRPr="00E722FC">
        <w:rPr>
          <w:rFonts w:ascii="Verdana" w:hAnsi="Verdana"/>
          <w:sz w:val="20"/>
          <w:szCs w:val="20"/>
        </w:rPr>
        <w:t xml:space="preserve"> roads, amenities and attractions. However, businesses cannot be expected to pick up the shortfall. The next three years is a time for councils to be willing to consider funding streams other than rates to maintain and develop infrastructure, such as increased debt and central government funding. </w:t>
      </w:r>
    </w:p>
    <w:p w14:paraId="665CC63F" w14:textId="77777777" w:rsidR="001C75CC" w:rsidRDefault="001C75CC" w:rsidP="001A4097">
      <w:pPr>
        <w:ind w:left="360"/>
        <w:contextualSpacing/>
        <w:jc w:val="both"/>
        <w:rPr>
          <w:rFonts w:ascii="Verdana" w:hAnsi="Verdana"/>
          <w:sz w:val="20"/>
          <w:szCs w:val="20"/>
        </w:rPr>
      </w:pPr>
    </w:p>
    <w:p w14:paraId="0727B017" w14:textId="19B5F08F" w:rsidR="00A238F0" w:rsidRPr="00F5509D" w:rsidRDefault="00A238F0" w:rsidP="001A4097">
      <w:pPr>
        <w:numPr>
          <w:ilvl w:val="0"/>
          <w:numId w:val="4"/>
        </w:numPr>
        <w:contextualSpacing/>
        <w:jc w:val="both"/>
        <w:rPr>
          <w:rFonts w:ascii="Verdana" w:hAnsi="Verdana"/>
          <w:sz w:val="20"/>
          <w:szCs w:val="20"/>
        </w:rPr>
      </w:pPr>
      <w:r w:rsidRPr="00E722FC">
        <w:rPr>
          <w:rFonts w:ascii="Verdana" w:hAnsi="Verdana"/>
          <w:sz w:val="20"/>
          <w:szCs w:val="20"/>
        </w:rPr>
        <w:t>We ask in your LTP to</w:t>
      </w:r>
      <w:r w:rsidR="00F5509D">
        <w:rPr>
          <w:rFonts w:ascii="Verdana" w:hAnsi="Verdana"/>
          <w:sz w:val="20"/>
          <w:szCs w:val="20"/>
        </w:rPr>
        <w:t xml:space="preserve"> k</w:t>
      </w:r>
      <w:r w:rsidRPr="00F5509D">
        <w:rPr>
          <w:rFonts w:ascii="Verdana" w:hAnsi="Verdana"/>
          <w:sz w:val="20"/>
          <w:szCs w:val="20"/>
        </w:rPr>
        <w:t>eep any commercial or targeted rate increases to below 1.5%</w:t>
      </w:r>
      <w:r w:rsidR="00ED168F" w:rsidRPr="00F5509D">
        <w:rPr>
          <w:rFonts w:ascii="Verdana" w:hAnsi="Verdana"/>
          <w:sz w:val="20"/>
          <w:szCs w:val="20"/>
        </w:rPr>
        <w:t xml:space="preserve"> </w:t>
      </w:r>
      <w:r w:rsidRPr="00F5509D">
        <w:rPr>
          <w:rFonts w:ascii="Verdana" w:hAnsi="Verdana"/>
          <w:sz w:val="20"/>
          <w:szCs w:val="20"/>
        </w:rPr>
        <w:t>p.a. over 2021/22- 2024/25</w:t>
      </w:r>
      <w:r w:rsidR="00F5509D">
        <w:rPr>
          <w:rFonts w:ascii="Verdana" w:hAnsi="Verdana"/>
          <w:sz w:val="20"/>
          <w:szCs w:val="20"/>
        </w:rPr>
        <w:t xml:space="preserve"> and g</w:t>
      </w:r>
      <w:r w:rsidRPr="00F5509D">
        <w:rPr>
          <w:rFonts w:ascii="Verdana" w:hAnsi="Verdana"/>
          <w:sz w:val="20"/>
          <w:szCs w:val="20"/>
        </w:rPr>
        <w:t xml:space="preserve">ive confidence to local tourism operators by stating there will be no new targeted tourism rates (‘bed taxes’) introduced over the next three years. </w:t>
      </w:r>
    </w:p>
    <w:p w14:paraId="13647E3D" w14:textId="242D574D" w:rsidR="00A238F0" w:rsidRPr="00E722FC" w:rsidRDefault="00A238F0" w:rsidP="001A4097">
      <w:pPr>
        <w:ind w:left="360"/>
        <w:contextualSpacing/>
        <w:jc w:val="both"/>
        <w:rPr>
          <w:rFonts w:ascii="Verdana" w:hAnsi="Verdana"/>
          <w:sz w:val="20"/>
          <w:szCs w:val="20"/>
        </w:rPr>
      </w:pPr>
    </w:p>
    <w:p w14:paraId="114BB338" w14:textId="455D3683" w:rsidR="00A238F0" w:rsidRPr="00ED168F" w:rsidRDefault="00A238F0" w:rsidP="001A4097">
      <w:pPr>
        <w:pStyle w:val="Default"/>
        <w:jc w:val="both"/>
        <w:rPr>
          <w:i/>
          <w:iCs/>
          <w:color w:val="auto"/>
          <w:sz w:val="20"/>
          <w:szCs w:val="20"/>
        </w:rPr>
      </w:pPr>
      <w:r w:rsidRPr="00ED168F">
        <w:rPr>
          <w:i/>
          <w:iCs/>
          <w:color w:val="auto"/>
          <w:sz w:val="20"/>
          <w:szCs w:val="20"/>
        </w:rPr>
        <w:t xml:space="preserve">Environmental management </w:t>
      </w:r>
    </w:p>
    <w:p w14:paraId="202722A5" w14:textId="77777777" w:rsidR="00A238F0" w:rsidRPr="00E722FC" w:rsidRDefault="00A238F0" w:rsidP="001A4097">
      <w:pPr>
        <w:contextualSpacing/>
        <w:jc w:val="both"/>
        <w:rPr>
          <w:rFonts w:ascii="Verdana" w:hAnsi="Verdana"/>
          <w:sz w:val="20"/>
          <w:szCs w:val="20"/>
        </w:rPr>
      </w:pPr>
    </w:p>
    <w:p w14:paraId="0FDF2F7F" w14:textId="77777777" w:rsidR="00BF6C9C" w:rsidRDefault="00A238F0" w:rsidP="001A4097">
      <w:pPr>
        <w:numPr>
          <w:ilvl w:val="0"/>
          <w:numId w:val="4"/>
        </w:numPr>
        <w:contextualSpacing/>
        <w:jc w:val="both"/>
        <w:rPr>
          <w:rFonts w:ascii="Verdana" w:hAnsi="Verdana"/>
          <w:sz w:val="20"/>
          <w:szCs w:val="20"/>
        </w:rPr>
      </w:pPr>
      <w:r w:rsidRPr="00E722FC">
        <w:rPr>
          <w:rFonts w:ascii="Verdana" w:hAnsi="Verdana"/>
          <w:sz w:val="20"/>
          <w:szCs w:val="20"/>
        </w:rPr>
        <w:t xml:space="preserve">New Zealand’s environment is our unique selling point. It underpins our 100% Pure New Zealand tourism proposition and supports many of our iconic adventure and outdoor activities. The top factor influencing international visitors to choose New Zealand is our natural landscape and scenery and getting outdoors is a key driver of </w:t>
      </w:r>
      <w:r w:rsidRPr="00E722FC">
        <w:rPr>
          <w:rFonts w:ascii="Verdana" w:hAnsi="Verdana"/>
          <w:sz w:val="20"/>
          <w:szCs w:val="20"/>
        </w:rPr>
        <w:lastRenderedPageBreak/>
        <w:t xml:space="preserve">domestic tourism. However, New Zealand’s natural environmental assets are under constant threat, including many of our native species, our freshwater rivers and lakes, and our unique landscapes. </w:t>
      </w:r>
    </w:p>
    <w:p w14:paraId="7A92753A" w14:textId="77777777" w:rsidR="00BF6C9C" w:rsidRDefault="00BF6C9C" w:rsidP="001A4097">
      <w:pPr>
        <w:ind w:left="360"/>
        <w:contextualSpacing/>
        <w:jc w:val="both"/>
        <w:rPr>
          <w:rFonts w:ascii="Verdana" w:hAnsi="Verdana"/>
          <w:sz w:val="20"/>
          <w:szCs w:val="20"/>
        </w:rPr>
      </w:pPr>
    </w:p>
    <w:p w14:paraId="2EC2BEAA" w14:textId="5377DC3E" w:rsidR="00A238F0" w:rsidRPr="002E12C6" w:rsidRDefault="00A238F0" w:rsidP="001A4097">
      <w:pPr>
        <w:numPr>
          <w:ilvl w:val="0"/>
          <w:numId w:val="4"/>
        </w:numPr>
        <w:contextualSpacing/>
        <w:jc w:val="both"/>
        <w:rPr>
          <w:rFonts w:ascii="Verdana" w:hAnsi="Verdana"/>
          <w:sz w:val="20"/>
          <w:szCs w:val="20"/>
        </w:rPr>
      </w:pPr>
      <w:r w:rsidRPr="00BF6C9C">
        <w:rPr>
          <w:rFonts w:ascii="Verdana" w:hAnsi="Verdana"/>
          <w:sz w:val="20"/>
          <w:szCs w:val="20"/>
        </w:rPr>
        <w:t>We ask</w:t>
      </w:r>
      <w:r w:rsidR="005D2652" w:rsidRPr="00BF6C9C">
        <w:rPr>
          <w:rFonts w:ascii="Verdana" w:hAnsi="Verdana"/>
          <w:sz w:val="20"/>
          <w:szCs w:val="20"/>
        </w:rPr>
        <w:t>ed</w:t>
      </w:r>
      <w:r w:rsidRPr="00BF6C9C">
        <w:rPr>
          <w:rFonts w:ascii="Verdana" w:hAnsi="Verdana"/>
          <w:sz w:val="20"/>
          <w:szCs w:val="20"/>
        </w:rPr>
        <w:t xml:space="preserve"> your Council in your LTP </w:t>
      </w:r>
      <w:r w:rsidR="00BF6C9C">
        <w:rPr>
          <w:rFonts w:ascii="Verdana" w:hAnsi="Verdana"/>
          <w:sz w:val="20"/>
          <w:szCs w:val="20"/>
        </w:rPr>
        <w:t>r</w:t>
      </w:r>
      <w:r w:rsidRPr="00BF6C9C">
        <w:rPr>
          <w:rFonts w:ascii="Verdana" w:hAnsi="Verdana"/>
          <w:sz w:val="20"/>
          <w:szCs w:val="20"/>
        </w:rPr>
        <w:t>ecognise the environmental assets in your region are critical to tourism success and make a commitment to maintaining, enhancing and restoring these assets</w:t>
      </w:r>
      <w:r w:rsidR="002E12C6">
        <w:rPr>
          <w:rFonts w:ascii="Verdana" w:hAnsi="Verdana"/>
          <w:sz w:val="20"/>
          <w:szCs w:val="20"/>
        </w:rPr>
        <w:t xml:space="preserve">, including </w:t>
      </w:r>
      <w:r w:rsidRPr="002E12C6">
        <w:rPr>
          <w:rFonts w:ascii="Verdana" w:hAnsi="Verdana"/>
          <w:sz w:val="20"/>
          <w:szCs w:val="20"/>
        </w:rPr>
        <w:t xml:space="preserve">supporting the requirements of the new National Policy Statement for Freshwater Management (NPS-FM) as quickly as possible. </w:t>
      </w:r>
    </w:p>
    <w:p w14:paraId="76A232A3" w14:textId="77777777" w:rsidR="005D2652" w:rsidRDefault="005D2652" w:rsidP="001A4097">
      <w:pPr>
        <w:pStyle w:val="ListParagraph"/>
        <w:jc w:val="both"/>
        <w:rPr>
          <w:rFonts w:ascii="Verdana" w:hAnsi="Verdana"/>
          <w:sz w:val="20"/>
          <w:szCs w:val="20"/>
        </w:rPr>
      </w:pPr>
    </w:p>
    <w:p w14:paraId="5BFEB4EE" w14:textId="77777777" w:rsidR="005829E7" w:rsidRPr="000C733E" w:rsidRDefault="005829E7" w:rsidP="001A4097">
      <w:pPr>
        <w:spacing w:after="0" w:line="240" w:lineRule="auto"/>
        <w:jc w:val="both"/>
        <w:rPr>
          <w:rFonts w:ascii="Verdana" w:hAnsi="Verdana"/>
          <w:b/>
          <w:caps/>
          <w:sz w:val="20"/>
          <w:szCs w:val="20"/>
          <w:u w:val="single"/>
        </w:rPr>
      </w:pPr>
      <w:r w:rsidRPr="000C733E">
        <w:rPr>
          <w:rFonts w:ascii="Verdana" w:hAnsi="Verdana"/>
          <w:b/>
          <w:caps/>
          <w:sz w:val="20"/>
          <w:szCs w:val="20"/>
          <w:u w:val="single"/>
        </w:rPr>
        <w:t>Part Two - Specific feedback on your LTP</w:t>
      </w:r>
    </w:p>
    <w:p w14:paraId="556FF530" w14:textId="77777777" w:rsidR="005829E7" w:rsidRPr="009B2E98" w:rsidRDefault="005829E7" w:rsidP="001A4097">
      <w:pPr>
        <w:spacing w:after="0" w:line="240" w:lineRule="auto"/>
        <w:jc w:val="both"/>
        <w:rPr>
          <w:rFonts w:ascii="Verdana" w:hAnsi="Verdana"/>
          <w:sz w:val="20"/>
          <w:szCs w:val="20"/>
          <w:u w:val="single"/>
        </w:rPr>
      </w:pPr>
    </w:p>
    <w:p w14:paraId="7CFC6370" w14:textId="6B02D24E" w:rsidR="00EA70B6" w:rsidRDefault="005829E7" w:rsidP="001A4097">
      <w:pPr>
        <w:numPr>
          <w:ilvl w:val="0"/>
          <w:numId w:val="4"/>
        </w:numPr>
        <w:contextualSpacing/>
        <w:jc w:val="both"/>
        <w:rPr>
          <w:rFonts w:ascii="Verdana" w:hAnsi="Verdana"/>
          <w:sz w:val="20"/>
          <w:szCs w:val="20"/>
        </w:rPr>
      </w:pPr>
      <w:r>
        <w:rPr>
          <w:rFonts w:ascii="Verdana" w:hAnsi="Verdana"/>
          <w:sz w:val="20"/>
          <w:szCs w:val="20"/>
        </w:rPr>
        <w:t>In t</w:t>
      </w:r>
      <w:r w:rsidRPr="009B2E98">
        <w:rPr>
          <w:rFonts w:ascii="Verdana" w:hAnsi="Verdana"/>
          <w:sz w:val="20"/>
          <w:szCs w:val="20"/>
        </w:rPr>
        <w:t>he following section</w:t>
      </w:r>
      <w:r>
        <w:rPr>
          <w:rFonts w:ascii="Verdana" w:hAnsi="Verdana"/>
          <w:sz w:val="20"/>
          <w:szCs w:val="20"/>
        </w:rPr>
        <w:t>,</w:t>
      </w:r>
      <w:r w:rsidRPr="009B2E98">
        <w:rPr>
          <w:rFonts w:ascii="Verdana" w:hAnsi="Verdana"/>
          <w:sz w:val="20"/>
          <w:szCs w:val="20"/>
        </w:rPr>
        <w:t xml:space="preserve"> </w:t>
      </w:r>
      <w:r>
        <w:rPr>
          <w:rFonts w:ascii="Verdana" w:hAnsi="Verdana"/>
          <w:sz w:val="20"/>
          <w:szCs w:val="20"/>
        </w:rPr>
        <w:t xml:space="preserve">we </w:t>
      </w:r>
      <w:r w:rsidRPr="009B2E98">
        <w:rPr>
          <w:rFonts w:ascii="Verdana" w:hAnsi="Verdana"/>
          <w:sz w:val="20"/>
          <w:szCs w:val="20"/>
        </w:rPr>
        <w:t xml:space="preserve">provide </w:t>
      </w:r>
      <w:r>
        <w:rPr>
          <w:rFonts w:ascii="Verdana" w:hAnsi="Verdana"/>
          <w:sz w:val="20"/>
          <w:szCs w:val="20"/>
        </w:rPr>
        <w:t xml:space="preserve">feedback on the tourism components within your </w:t>
      </w:r>
      <w:r w:rsidR="006C565E">
        <w:rPr>
          <w:rFonts w:ascii="Verdana" w:hAnsi="Verdana"/>
          <w:sz w:val="20"/>
          <w:szCs w:val="20"/>
        </w:rPr>
        <w:t xml:space="preserve">Consultation Document </w:t>
      </w:r>
      <w:r w:rsidR="0029685E">
        <w:rPr>
          <w:rFonts w:ascii="Verdana" w:hAnsi="Verdana"/>
          <w:sz w:val="20"/>
          <w:szCs w:val="20"/>
        </w:rPr>
        <w:t xml:space="preserve">for the </w:t>
      </w:r>
      <w:r>
        <w:rPr>
          <w:rFonts w:ascii="Verdana" w:hAnsi="Verdana"/>
          <w:sz w:val="20"/>
          <w:szCs w:val="20"/>
        </w:rPr>
        <w:t>L</w:t>
      </w:r>
      <w:r w:rsidR="00A43E6E">
        <w:rPr>
          <w:rFonts w:ascii="Verdana" w:hAnsi="Verdana"/>
          <w:sz w:val="20"/>
          <w:szCs w:val="20"/>
        </w:rPr>
        <w:t>ong-</w:t>
      </w:r>
      <w:r w:rsidR="001F114C">
        <w:rPr>
          <w:rFonts w:ascii="Verdana" w:hAnsi="Verdana"/>
          <w:sz w:val="20"/>
          <w:szCs w:val="20"/>
        </w:rPr>
        <w:t>T</w:t>
      </w:r>
      <w:r w:rsidR="00A43E6E">
        <w:rPr>
          <w:rFonts w:ascii="Verdana" w:hAnsi="Verdana"/>
          <w:sz w:val="20"/>
          <w:szCs w:val="20"/>
        </w:rPr>
        <w:t xml:space="preserve">erm </w:t>
      </w:r>
      <w:r>
        <w:rPr>
          <w:rFonts w:ascii="Verdana" w:hAnsi="Verdana"/>
          <w:sz w:val="20"/>
          <w:szCs w:val="20"/>
        </w:rPr>
        <w:t>P</w:t>
      </w:r>
      <w:r w:rsidR="00A43E6E">
        <w:rPr>
          <w:rFonts w:ascii="Verdana" w:hAnsi="Verdana"/>
          <w:sz w:val="20"/>
          <w:szCs w:val="20"/>
        </w:rPr>
        <w:t xml:space="preserve">lan 2021-2031. </w:t>
      </w:r>
      <w:r w:rsidR="001A4097">
        <w:rPr>
          <w:rFonts w:ascii="Verdana" w:hAnsi="Verdana"/>
          <w:sz w:val="20"/>
          <w:szCs w:val="20"/>
        </w:rPr>
        <w:t xml:space="preserve">Our comments </w:t>
      </w:r>
      <w:r w:rsidR="00A43E6E">
        <w:rPr>
          <w:rFonts w:ascii="Verdana" w:hAnsi="Verdana"/>
          <w:sz w:val="20"/>
          <w:szCs w:val="20"/>
        </w:rPr>
        <w:t xml:space="preserve">focus on </w:t>
      </w:r>
      <w:r w:rsidR="00DA2F4E">
        <w:rPr>
          <w:rFonts w:ascii="Verdana" w:hAnsi="Verdana"/>
          <w:sz w:val="20"/>
          <w:szCs w:val="20"/>
        </w:rPr>
        <w:t xml:space="preserve">rate increases and </w:t>
      </w:r>
      <w:r w:rsidR="00EA70B6" w:rsidRPr="00743ABD">
        <w:rPr>
          <w:rFonts w:ascii="Verdana" w:hAnsi="Verdana"/>
          <w:sz w:val="20"/>
          <w:szCs w:val="20"/>
        </w:rPr>
        <w:t>the proposal for Reinstatement of the A</w:t>
      </w:r>
      <w:r w:rsidR="00A43E6E">
        <w:rPr>
          <w:rFonts w:ascii="Verdana" w:hAnsi="Verdana"/>
          <w:sz w:val="20"/>
          <w:szCs w:val="20"/>
        </w:rPr>
        <w:t>ccommodation Provider Targeted Rate (APTR).</w:t>
      </w:r>
    </w:p>
    <w:p w14:paraId="30C4BC5D" w14:textId="56134EE3" w:rsidR="007D253F" w:rsidRDefault="007D253F" w:rsidP="001A4097">
      <w:pPr>
        <w:ind w:left="360"/>
        <w:contextualSpacing/>
        <w:jc w:val="both"/>
        <w:rPr>
          <w:rFonts w:ascii="Verdana" w:hAnsi="Verdana"/>
          <w:sz w:val="20"/>
          <w:szCs w:val="20"/>
        </w:rPr>
      </w:pPr>
    </w:p>
    <w:p w14:paraId="3DC642C4" w14:textId="45379C64" w:rsidR="00DA2F4E" w:rsidRDefault="00DA2F4E" w:rsidP="00DA2F4E">
      <w:pPr>
        <w:pStyle w:val="Default"/>
        <w:jc w:val="both"/>
        <w:rPr>
          <w:i/>
          <w:iCs/>
          <w:color w:val="auto"/>
          <w:sz w:val="20"/>
          <w:szCs w:val="20"/>
        </w:rPr>
      </w:pPr>
      <w:r w:rsidRPr="00DA2F4E">
        <w:rPr>
          <w:i/>
          <w:iCs/>
          <w:color w:val="auto"/>
          <w:sz w:val="20"/>
          <w:szCs w:val="20"/>
        </w:rPr>
        <w:t>Rate Increases</w:t>
      </w:r>
    </w:p>
    <w:p w14:paraId="0177902F" w14:textId="77777777" w:rsidR="00DA2F4E" w:rsidRPr="00DA2F4E" w:rsidRDefault="00DA2F4E" w:rsidP="00DA2F4E">
      <w:pPr>
        <w:pStyle w:val="Default"/>
        <w:jc w:val="both"/>
        <w:rPr>
          <w:i/>
          <w:iCs/>
          <w:color w:val="auto"/>
          <w:sz w:val="20"/>
          <w:szCs w:val="20"/>
        </w:rPr>
      </w:pPr>
    </w:p>
    <w:p w14:paraId="3A47D931" w14:textId="67408972" w:rsidR="00DA2F4E" w:rsidRDefault="00B62B61" w:rsidP="00DA2F4E">
      <w:pPr>
        <w:numPr>
          <w:ilvl w:val="0"/>
          <w:numId w:val="4"/>
        </w:numPr>
        <w:contextualSpacing/>
        <w:jc w:val="both"/>
        <w:rPr>
          <w:rFonts w:ascii="Verdana" w:hAnsi="Verdana"/>
          <w:sz w:val="20"/>
          <w:szCs w:val="20"/>
        </w:rPr>
      </w:pPr>
      <w:r>
        <w:rPr>
          <w:rFonts w:ascii="Verdana" w:hAnsi="Verdana"/>
          <w:sz w:val="20"/>
          <w:szCs w:val="20"/>
        </w:rPr>
        <w:t xml:space="preserve">The proposed increase in rates are higher than the </w:t>
      </w:r>
      <w:r w:rsidR="00D733EB">
        <w:rPr>
          <w:rFonts w:ascii="Verdana" w:hAnsi="Verdana"/>
          <w:sz w:val="20"/>
          <w:szCs w:val="20"/>
        </w:rPr>
        <w:t xml:space="preserve">1.5% </w:t>
      </w:r>
      <w:r>
        <w:rPr>
          <w:rFonts w:ascii="Verdana" w:hAnsi="Verdana"/>
          <w:sz w:val="20"/>
          <w:szCs w:val="20"/>
        </w:rPr>
        <w:t xml:space="preserve">cap we sought in our </w:t>
      </w:r>
      <w:r w:rsidR="009C13F1">
        <w:rPr>
          <w:rFonts w:ascii="Verdana" w:hAnsi="Verdana"/>
          <w:sz w:val="20"/>
          <w:szCs w:val="20"/>
        </w:rPr>
        <w:t xml:space="preserve">August 2020 </w:t>
      </w:r>
      <w:r w:rsidR="00B36CFC">
        <w:rPr>
          <w:rFonts w:ascii="Verdana" w:hAnsi="Verdana"/>
          <w:sz w:val="20"/>
          <w:szCs w:val="20"/>
        </w:rPr>
        <w:t>l</w:t>
      </w:r>
      <w:r>
        <w:rPr>
          <w:rFonts w:ascii="Verdana" w:hAnsi="Verdana"/>
          <w:sz w:val="20"/>
          <w:szCs w:val="20"/>
        </w:rPr>
        <w:t>etter to</w:t>
      </w:r>
      <w:r w:rsidR="009C13F1">
        <w:rPr>
          <w:rFonts w:ascii="Verdana" w:hAnsi="Verdana"/>
          <w:sz w:val="20"/>
          <w:szCs w:val="20"/>
        </w:rPr>
        <w:t xml:space="preserve"> </w:t>
      </w:r>
      <w:r w:rsidR="001C236E">
        <w:rPr>
          <w:rFonts w:ascii="Verdana" w:hAnsi="Verdana"/>
          <w:sz w:val="20"/>
          <w:szCs w:val="20"/>
        </w:rPr>
        <w:t>C</w:t>
      </w:r>
      <w:r w:rsidR="009C13F1">
        <w:rPr>
          <w:rFonts w:ascii="Verdana" w:hAnsi="Verdana"/>
          <w:sz w:val="20"/>
          <w:szCs w:val="20"/>
        </w:rPr>
        <w:t>ou</w:t>
      </w:r>
      <w:r w:rsidR="00D733EB">
        <w:rPr>
          <w:rFonts w:ascii="Verdana" w:hAnsi="Verdana"/>
          <w:sz w:val="20"/>
          <w:szCs w:val="20"/>
        </w:rPr>
        <w:t>n</w:t>
      </w:r>
      <w:r w:rsidR="009C13F1">
        <w:rPr>
          <w:rFonts w:ascii="Verdana" w:hAnsi="Verdana"/>
          <w:sz w:val="20"/>
          <w:szCs w:val="20"/>
        </w:rPr>
        <w:t>cils</w:t>
      </w:r>
      <w:r w:rsidR="00D733EB">
        <w:rPr>
          <w:rFonts w:ascii="Verdana" w:hAnsi="Verdana"/>
          <w:sz w:val="20"/>
          <w:szCs w:val="20"/>
        </w:rPr>
        <w:t xml:space="preserve"> to support </w:t>
      </w:r>
      <w:r w:rsidR="00D614D8">
        <w:rPr>
          <w:rFonts w:ascii="Verdana" w:hAnsi="Verdana"/>
          <w:sz w:val="20"/>
          <w:szCs w:val="20"/>
        </w:rPr>
        <w:t xml:space="preserve">the </w:t>
      </w:r>
      <w:r w:rsidR="00A26F56">
        <w:rPr>
          <w:rFonts w:ascii="Verdana" w:hAnsi="Verdana"/>
          <w:sz w:val="20"/>
          <w:szCs w:val="20"/>
        </w:rPr>
        <w:t xml:space="preserve">ongoing viability of </w:t>
      </w:r>
      <w:r w:rsidR="00275D4D">
        <w:rPr>
          <w:rFonts w:ascii="Verdana" w:hAnsi="Verdana"/>
          <w:sz w:val="20"/>
          <w:szCs w:val="20"/>
        </w:rPr>
        <w:t xml:space="preserve">tourism </w:t>
      </w:r>
      <w:r w:rsidR="00A26F56">
        <w:rPr>
          <w:rFonts w:ascii="Verdana" w:hAnsi="Verdana"/>
          <w:sz w:val="20"/>
          <w:szCs w:val="20"/>
        </w:rPr>
        <w:t>businesses.</w:t>
      </w:r>
      <w:r>
        <w:rPr>
          <w:rFonts w:ascii="Verdana" w:hAnsi="Verdana"/>
          <w:sz w:val="20"/>
          <w:szCs w:val="20"/>
        </w:rPr>
        <w:t xml:space="preserve"> </w:t>
      </w:r>
      <w:r w:rsidR="00B36CFC">
        <w:rPr>
          <w:rFonts w:ascii="Verdana" w:hAnsi="Verdana"/>
          <w:sz w:val="20"/>
          <w:szCs w:val="20"/>
        </w:rPr>
        <w:t>However w</w:t>
      </w:r>
      <w:r w:rsidR="00DA2F4E">
        <w:rPr>
          <w:rFonts w:ascii="Verdana" w:hAnsi="Verdana"/>
          <w:sz w:val="20"/>
          <w:szCs w:val="20"/>
        </w:rPr>
        <w:t>e acknowledge the efforts being made by the Council to prevent significant rate increases</w:t>
      </w:r>
      <w:r w:rsidR="00A26F56">
        <w:rPr>
          <w:rFonts w:ascii="Verdana" w:hAnsi="Verdana"/>
          <w:sz w:val="20"/>
          <w:szCs w:val="20"/>
        </w:rPr>
        <w:t xml:space="preserve"> and the </w:t>
      </w:r>
      <w:r w:rsidR="008E4763">
        <w:rPr>
          <w:rFonts w:ascii="Verdana" w:hAnsi="Verdana"/>
          <w:sz w:val="20"/>
          <w:szCs w:val="20"/>
        </w:rPr>
        <w:t xml:space="preserve">proposed increases </w:t>
      </w:r>
      <w:r w:rsidR="00DA2F4E">
        <w:rPr>
          <w:rFonts w:ascii="Verdana" w:hAnsi="Verdana"/>
          <w:sz w:val="20"/>
          <w:szCs w:val="20"/>
        </w:rPr>
        <w:t xml:space="preserve">of 5.0% in 2021/22, and 3.5% in the subsequent two years </w:t>
      </w:r>
      <w:r w:rsidR="008E4763">
        <w:rPr>
          <w:rFonts w:ascii="Verdana" w:hAnsi="Verdana"/>
          <w:sz w:val="20"/>
          <w:szCs w:val="20"/>
        </w:rPr>
        <w:t xml:space="preserve">are </w:t>
      </w:r>
      <w:r w:rsidR="00DA2F4E">
        <w:rPr>
          <w:rFonts w:ascii="Verdana" w:hAnsi="Verdana"/>
          <w:sz w:val="20"/>
          <w:szCs w:val="20"/>
        </w:rPr>
        <w:t xml:space="preserve">some of the lowest we have seen to date in draft LTPs. </w:t>
      </w:r>
    </w:p>
    <w:p w14:paraId="2459FF05" w14:textId="77777777" w:rsidR="00DA2F4E" w:rsidRDefault="00DA2F4E" w:rsidP="00DA2F4E">
      <w:pPr>
        <w:ind w:left="360"/>
        <w:contextualSpacing/>
        <w:jc w:val="both"/>
        <w:rPr>
          <w:rFonts w:ascii="Verdana" w:hAnsi="Verdana"/>
          <w:sz w:val="20"/>
          <w:szCs w:val="20"/>
        </w:rPr>
      </w:pPr>
    </w:p>
    <w:p w14:paraId="4F3F9A67" w14:textId="00168382" w:rsidR="00DA2F4E" w:rsidRDefault="00DA2F4E" w:rsidP="00DA2F4E">
      <w:pPr>
        <w:numPr>
          <w:ilvl w:val="0"/>
          <w:numId w:val="4"/>
        </w:numPr>
        <w:contextualSpacing/>
        <w:jc w:val="both"/>
        <w:rPr>
          <w:rFonts w:ascii="Verdana" w:hAnsi="Verdana"/>
          <w:sz w:val="20"/>
          <w:szCs w:val="20"/>
        </w:rPr>
      </w:pPr>
      <w:r w:rsidRPr="6FF89665">
        <w:rPr>
          <w:rFonts w:ascii="Verdana" w:hAnsi="Verdana"/>
          <w:sz w:val="20"/>
          <w:szCs w:val="20"/>
        </w:rPr>
        <w:t xml:space="preserve">We also acknowledge that the Council recognises that business rates are too high compared to </w:t>
      </w:r>
      <w:r w:rsidR="001A0026">
        <w:rPr>
          <w:rFonts w:ascii="Verdana" w:hAnsi="Verdana"/>
          <w:sz w:val="20"/>
          <w:szCs w:val="20"/>
        </w:rPr>
        <w:t>residential</w:t>
      </w:r>
      <w:r w:rsidRPr="6FF89665">
        <w:rPr>
          <w:rFonts w:ascii="Verdana" w:hAnsi="Verdana"/>
          <w:sz w:val="20"/>
          <w:szCs w:val="20"/>
        </w:rPr>
        <w:t xml:space="preserve"> rates. As a result the average increase in </w:t>
      </w:r>
      <w:r w:rsidR="00006F20" w:rsidRPr="6FF89665">
        <w:rPr>
          <w:rFonts w:ascii="Verdana" w:hAnsi="Verdana"/>
          <w:sz w:val="20"/>
          <w:szCs w:val="20"/>
        </w:rPr>
        <w:t xml:space="preserve">business </w:t>
      </w:r>
      <w:r w:rsidRPr="6FF89665">
        <w:rPr>
          <w:rFonts w:ascii="Verdana" w:hAnsi="Verdana"/>
          <w:sz w:val="20"/>
          <w:szCs w:val="20"/>
        </w:rPr>
        <w:t xml:space="preserve">rates over the next three years will be 3.52%, slightly lower than the 5.34% increase for residential ratepayers. </w:t>
      </w:r>
    </w:p>
    <w:p w14:paraId="603EB7A6" w14:textId="1FAD5D98" w:rsidR="00DA2F4E" w:rsidRDefault="00DA2F4E" w:rsidP="00006F20">
      <w:pPr>
        <w:contextualSpacing/>
        <w:jc w:val="both"/>
        <w:rPr>
          <w:rFonts w:ascii="Verdana" w:hAnsi="Verdana"/>
          <w:sz w:val="20"/>
          <w:szCs w:val="20"/>
        </w:rPr>
      </w:pPr>
    </w:p>
    <w:p w14:paraId="58EC64D0" w14:textId="2CC297D7" w:rsidR="00006F20" w:rsidRPr="00006F20" w:rsidRDefault="00006F20" w:rsidP="00006F20">
      <w:pPr>
        <w:contextualSpacing/>
        <w:jc w:val="both"/>
        <w:rPr>
          <w:rFonts w:ascii="Verdana" w:hAnsi="Verdana"/>
          <w:i/>
          <w:iCs/>
          <w:sz w:val="20"/>
          <w:szCs w:val="20"/>
        </w:rPr>
      </w:pPr>
      <w:r w:rsidRPr="00006F20">
        <w:rPr>
          <w:rFonts w:ascii="Verdana" w:hAnsi="Verdana"/>
          <w:i/>
          <w:iCs/>
          <w:sz w:val="20"/>
          <w:szCs w:val="20"/>
        </w:rPr>
        <w:t>Reinstatement of the Accommodation Provider Targeted Rate</w:t>
      </w:r>
      <w:r w:rsidR="00F3023A">
        <w:rPr>
          <w:rFonts w:ascii="Verdana" w:hAnsi="Verdana"/>
          <w:i/>
          <w:iCs/>
          <w:sz w:val="20"/>
          <w:szCs w:val="20"/>
        </w:rPr>
        <w:t xml:space="preserve"> (APTR)</w:t>
      </w:r>
    </w:p>
    <w:p w14:paraId="2926C425" w14:textId="77777777" w:rsidR="00DA2F4E" w:rsidRDefault="00DA2F4E" w:rsidP="001A4097">
      <w:pPr>
        <w:ind w:left="360"/>
        <w:contextualSpacing/>
        <w:jc w:val="both"/>
        <w:rPr>
          <w:rFonts w:ascii="Verdana" w:hAnsi="Verdana"/>
          <w:sz w:val="20"/>
          <w:szCs w:val="20"/>
        </w:rPr>
      </w:pPr>
    </w:p>
    <w:p w14:paraId="711C2776" w14:textId="3194B906" w:rsidR="007D253F" w:rsidRDefault="007D253F" w:rsidP="001A4097">
      <w:pPr>
        <w:numPr>
          <w:ilvl w:val="0"/>
          <w:numId w:val="4"/>
        </w:numPr>
        <w:contextualSpacing/>
        <w:jc w:val="both"/>
        <w:rPr>
          <w:rFonts w:ascii="Verdana" w:hAnsi="Verdana"/>
          <w:sz w:val="20"/>
          <w:szCs w:val="20"/>
        </w:rPr>
      </w:pPr>
      <w:r>
        <w:rPr>
          <w:rFonts w:ascii="Verdana" w:hAnsi="Verdana"/>
          <w:sz w:val="20"/>
          <w:szCs w:val="20"/>
        </w:rPr>
        <w:t xml:space="preserve">There are </w:t>
      </w:r>
      <w:r w:rsidR="00585CD0">
        <w:rPr>
          <w:rFonts w:ascii="Verdana" w:hAnsi="Verdana"/>
          <w:sz w:val="20"/>
          <w:szCs w:val="20"/>
        </w:rPr>
        <w:t>three options provided</w:t>
      </w:r>
      <w:r w:rsidR="00945BA6">
        <w:rPr>
          <w:rFonts w:ascii="Verdana" w:hAnsi="Verdana"/>
          <w:sz w:val="20"/>
          <w:szCs w:val="20"/>
        </w:rPr>
        <w:t xml:space="preserve"> for the reinstatement of the APTR</w:t>
      </w:r>
      <w:r w:rsidR="00585CD0">
        <w:rPr>
          <w:rFonts w:ascii="Verdana" w:hAnsi="Verdana"/>
          <w:sz w:val="20"/>
          <w:szCs w:val="20"/>
        </w:rPr>
        <w:t>:</w:t>
      </w:r>
    </w:p>
    <w:p w14:paraId="1A2B3759" w14:textId="75D77FC6" w:rsidR="00585CD0" w:rsidRDefault="00BF434B" w:rsidP="001A4097">
      <w:pPr>
        <w:ind w:left="360"/>
        <w:jc w:val="both"/>
        <w:rPr>
          <w:rFonts w:ascii="Verdana" w:hAnsi="Verdana"/>
          <w:sz w:val="20"/>
          <w:szCs w:val="20"/>
        </w:rPr>
      </w:pPr>
      <w:r w:rsidRPr="00AF4714">
        <w:rPr>
          <w:rFonts w:ascii="Verdana" w:hAnsi="Verdana"/>
          <w:i/>
          <w:iCs/>
          <w:sz w:val="20"/>
          <w:szCs w:val="20"/>
        </w:rPr>
        <w:t>O</w:t>
      </w:r>
      <w:r w:rsidR="00585CD0" w:rsidRPr="00AF4714">
        <w:rPr>
          <w:rFonts w:ascii="Verdana" w:hAnsi="Verdana"/>
          <w:i/>
          <w:iCs/>
          <w:sz w:val="20"/>
          <w:szCs w:val="20"/>
        </w:rPr>
        <w:t>ption 1</w:t>
      </w:r>
      <w:r w:rsidR="00585CD0">
        <w:rPr>
          <w:rFonts w:ascii="Verdana" w:hAnsi="Verdana"/>
          <w:sz w:val="20"/>
          <w:szCs w:val="20"/>
        </w:rPr>
        <w:t xml:space="preserve"> </w:t>
      </w:r>
      <w:r w:rsidR="009F4CB7">
        <w:rPr>
          <w:rFonts w:ascii="Verdana" w:hAnsi="Verdana"/>
          <w:sz w:val="20"/>
          <w:szCs w:val="20"/>
        </w:rPr>
        <w:t>–</w:t>
      </w:r>
      <w:r w:rsidR="00585CD0">
        <w:rPr>
          <w:rFonts w:ascii="Verdana" w:hAnsi="Verdana"/>
          <w:sz w:val="20"/>
          <w:szCs w:val="20"/>
        </w:rPr>
        <w:t xml:space="preserve"> </w:t>
      </w:r>
      <w:r w:rsidR="009F4CB7">
        <w:rPr>
          <w:rFonts w:ascii="Verdana" w:hAnsi="Verdana"/>
          <w:sz w:val="20"/>
          <w:szCs w:val="20"/>
        </w:rPr>
        <w:t>Resume the APTR as currently planned from 1 April 2021</w:t>
      </w:r>
      <w:r w:rsidR="007C2241">
        <w:rPr>
          <w:rFonts w:ascii="Verdana" w:hAnsi="Verdana"/>
          <w:sz w:val="20"/>
          <w:szCs w:val="20"/>
        </w:rPr>
        <w:t xml:space="preserve">, raising around $14.2m in 2021/22 to help support $29m of spending on visitor </w:t>
      </w:r>
      <w:r w:rsidR="002B7954">
        <w:rPr>
          <w:rFonts w:ascii="Verdana" w:hAnsi="Verdana"/>
          <w:sz w:val="20"/>
          <w:szCs w:val="20"/>
        </w:rPr>
        <w:t>a</w:t>
      </w:r>
      <w:r w:rsidR="003D598D">
        <w:rPr>
          <w:rFonts w:ascii="Verdana" w:hAnsi="Verdana"/>
          <w:sz w:val="20"/>
          <w:szCs w:val="20"/>
        </w:rPr>
        <w:t>t</w:t>
      </w:r>
      <w:r w:rsidR="002B7954">
        <w:rPr>
          <w:rFonts w:ascii="Verdana" w:hAnsi="Verdana"/>
          <w:sz w:val="20"/>
          <w:szCs w:val="20"/>
        </w:rPr>
        <w:t>traction, major events and destination marketing activity.</w:t>
      </w:r>
    </w:p>
    <w:p w14:paraId="61CF50BC" w14:textId="54924EA3" w:rsidR="00BF434B" w:rsidRDefault="00BF434B" w:rsidP="001A4097">
      <w:pPr>
        <w:ind w:left="360"/>
        <w:jc w:val="both"/>
        <w:rPr>
          <w:rFonts w:ascii="Verdana" w:hAnsi="Verdana"/>
          <w:sz w:val="20"/>
          <w:szCs w:val="20"/>
        </w:rPr>
      </w:pPr>
      <w:r w:rsidRPr="00AF4714">
        <w:rPr>
          <w:rFonts w:ascii="Verdana" w:hAnsi="Verdana"/>
          <w:i/>
          <w:iCs/>
          <w:sz w:val="20"/>
          <w:szCs w:val="20"/>
        </w:rPr>
        <w:t>Option 2</w:t>
      </w:r>
      <w:r>
        <w:rPr>
          <w:rFonts w:ascii="Verdana" w:hAnsi="Verdana"/>
          <w:sz w:val="20"/>
          <w:szCs w:val="20"/>
        </w:rPr>
        <w:t xml:space="preserve"> – Reinstate the APTR from 1 January</w:t>
      </w:r>
      <w:r w:rsidR="00847364">
        <w:rPr>
          <w:rFonts w:ascii="Verdana" w:hAnsi="Verdana"/>
          <w:sz w:val="20"/>
          <w:szCs w:val="20"/>
        </w:rPr>
        <w:t xml:space="preserve"> 2022</w:t>
      </w:r>
      <w:r w:rsidR="002B7954">
        <w:rPr>
          <w:rFonts w:ascii="Verdana" w:hAnsi="Verdana"/>
          <w:sz w:val="20"/>
          <w:szCs w:val="20"/>
        </w:rPr>
        <w:t xml:space="preserve"> reducing the APTR revenue to </w:t>
      </w:r>
      <w:r w:rsidR="0086094F">
        <w:rPr>
          <w:rFonts w:ascii="Verdana" w:hAnsi="Verdana"/>
          <w:sz w:val="20"/>
          <w:szCs w:val="20"/>
        </w:rPr>
        <w:t xml:space="preserve">around $7.2m in 2021/22 and lower spending </w:t>
      </w:r>
      <w:r w:rsidR="00B41839">
        <w:rPr>
          <w:rFonts w:ascii="Verdana" w:hAnsi="Verdana"/>
          <w:sz w:val="20"/>
          <w:szCs w:val="20"/>
        </w:rPr>
        <w:t>to around $21.8m in 2021/22.</w:t>
      </w:r>
    </w:p>
    <w:p w14:paraId="48802F87" w14:textId="4384249D" w:rsidR="00847364" w:rsidRDefault="00847364" w:rsidP="001A4097">
      <w:pPr>
        <w:ind w:left="360"/>
        <w:jc w:val="both"/>
        <w:rPr>
          <w:rFonts w:ascii="Verdana" w:hAnsi="Verdana"/>
          <w:sz w:val="20"/>
          <w:szCs w:val="20"/>
        </w:rPr>
      </w:pPr>
      <w:r w:rsidRPr="00AF4714">
        <w:rPr>
          <w:rFonts w:ascii="Verdana" w:hAnsi="Verdana"/>
          <w:i/>
          <w:iCs/>
          <w:sz w:val="20"/>
          <w:szCs w:val="20"/>
        </w:rPr>
        <w:t>Option 3</w:t>
      </w:r>
      <w:r>
        <w:rPr>
          <w:rFonts w:ascii="Verdana" w:hAnsi="Verdana"/>
          <w:sz w:val="20"/>
          <w:szCs w:val="20"/>
        </w:rPr>
        <w:t xml:space="preserve"> – Reinstate the APTR from 1 July 2022</w:t>
      </w:r>
      <w:r w:rsidR="00B41839">
        <w:rPr>
          <w:rFonts w:ascii="Verdana" w:hAnsi="Verdana"/>
          <w:sz w:val="20"/>
          <w:szCs w:val="20"/>
        </w:rPr>
        <w:t xml:space="preserve"> and lower spending to around $14.5m in 2021/22.</w:t>
      </w:r>
    </w:p>
    <w:p w14:paraId="341FD4F5" w14:textId="76432EF2" w:rsidR="00304480" w:rsidRPr="00296E64" w:rsidRDefault="00EA70B6" w:rsidP="001A4097">
      <w:pPr>
        <w:numPr>
          <w:ilvl w:val="0"/>
          <w:numId w:val="4"/>
        </w:numPr>
        <w:contextualSpacing/>
        <w:jc w:val="both"/>
        <w:rPr>
          <w:rFonts w:ascii="Verdana" w:hAnsi="Verdana"/>
          <w:sz w:val="20"/>
          <w:szCs w:val="20"/>
        </w:rPr>
      </w:pPr>
      <w:r w:rsidRPr="00296E64">
        <w:rPr>
          <w:rFonts w:ascii="Verdana" w:hAnsi="Verdana"/>
          <w:sz w:val="20"/>
          <w:szCs w:val="20"/>
        </w:rPr>
        <w:t>TIA led the tourism industry opposition</w:t>
      </w:r>
      <w:r w:rsidR="00AF4714" w:rsidRPr="00296E64">
        <w:rPr>
          <w:rFonts w:ascii="Verdana" w:hAnsi="Verdana"/>
          <w:sz w:val="20"/>
          <w:szCs w:val="20"/>
        </w:rPr>
        <w:t xml:space="preserve"> </w:t>
      </w:r>
      <w:r w:rsidRPr="00296E64">
        <w:rPr>
          <w:rFonts w:ascii="Verdana" w:hAnsi="Verdana"/>
          <w:sz w:val="20"/>
          <w:szCs w:val="20"/>
        </w:rPr>
        <w:t xml:space="preserve">to the introduction of the APTR in 2017, primarily on the basis of fairness – that it was totally unfair to propose this rate solely on commercial accommodation providers. The sector at the time received 9% of the total visitor spend in Auckland but was being asked to fund 100% of Council efforts </w:t>
      </w:r>
      <w:r w:rsidRPr="00296E64">
        <w:rPr>
          <w:rFonts w:ascii="Verdana" w:hAnsi="Verdana"/>
          <w:sz w:val="20"/>
          <w:szCs w:val="20"/>
        </w:rPr>
        <w:lastRenderedPageBreak/>
        <w:t>(through ATEED) to grow this spend.</w:t>
      </w:r>
      <w:r w:rsidR="00296E64" w:rsidRPr="00296E64">
        <w:rPr>
          <w:rFonts w:ascii="Verdana" w:hAnsi="Verdana"/>
          <w:sz w:val="20"/>
          <w:szCs w:val="20"/>
        </w:rPr>
        <w:t xml:space="preserve"> </w:t>
      </w:r>
      <w:r w:rsidRPr="00296E64">
        <w:rPr>
          <w:rFonts w:ascii="Verdana" w:hAnsi="Verdana"/>
          <w:sz w:val="20"/>
          <w:szCs w:val="20"/>
        </w:rPr>
        <w:t>A number of councillors – but not quite a majority - supported TIA’s position. The APTR was passed after being reduced in size and what properties it was applied to but remained, in the industry’s view, manifestly unfair.</w:t>
      </w:r>
    </w:p>
    <w:p w14:paraId="6E4329CD" w14:textId="77777777" w:rsidR="00296E64" w:rsidRDefault="00296E64" w:rsidP="001A4097">
      <w:pPr>
        <w:ind w:left="360"/>
        <w:contextualSpacing/>
        <w:jc w:val="both"/>
        <w:rPr>
          <w:rFonts w:ascii="Verdana" w:hAnsi="Verdana"/>
          <w:sz w:val="20"/>
          <w:szCs w:val="20"/>
        </w:rPr>
      </w:pPr>
    </w:p>
    <w:p w14:paraId="3EFEB03F" w14:textId="76FCB5FA" w:rsidR="00EB7CE1" w:rsidRDefault="00EA70B6" w:rsidP="001A4097">
      <w:pPr>
        <w:numPr>
          <w:ilvl w:val="0"/>
          <w:numId w:val="4"/>
        </w:numPr>
        <w:contextualSpacing/>
        <w:jc w:val="both"/>
        <w:rPr>
          <w:rFonts w:ascii="Verdana" w:hAnsi="Verdana"/>
          <w:sz w:val="20"/>
          <w:szCs w:val="20"/>
        </w:rPr>
      </w:pPr>
      <w:r w:rsidRPr="00304480">
        <w:rPr>
          <w:rFonts w:ascii="Verdana" w:hAnsi="Verdana"/>
          <w:sz w:val="20"/>
          <w:szCs w:val="20"/>
        </w:rPr>
        <w:t>Forward four years to now. We acknowledge and applaud the Council</w:t>
      </w:r>
      <w:r w:rsidR="00435089">
        <w:rPr>
          <w:rFonts w:ascii="Verdana" w:hAnsi="Verdana"/>
          <w:sz w:val="20"/>
          <w:szCs w:val="20"/>
        </w:rPr>
        <w:t>’</w:t>
      </w:r>
      <w:r w:rsidRPr="00304480">
        <w:rPr>
          <w:rFonts w:ascii="Verdana" w:hAnsi="Verdana"/>
          <w:sz w:val="20"/>
          <w:szCs w:val="20"/>
        </w:rPr>
        <w:t xml:space="preserve">s decision in the Emergency Budget of 2020/21 </w:t>
      </w:r>
      <w:r w:rsidR="00D91B88">
        <w:rPr>
          <w:rFonts w:ascii="Verdana" w:hAnsi="Verdana"/>
          <w:sz w:val="20"/>
          <w:szCs w:val="20"/>
        </w:rPr>
        <w:t>to</w:t>
      </w:r>
      <w:r w:rsidR="00D91B88" w:rsidRPr="00304480">
        <w:rPr>
          <w:rFonts w:ascii="Verdana" w:hAnsi="Verdana"/>
          <w:sz w:val="20"/>
          <w:szCs w:val="20"/>
        </w:rPr>
        <w:t xml:space="preserve"> </w:t>
      </w:r>
      <w:r w:rsidRPr="00304480">
        <w:rPr>
          <w:rFonts w:ascii="Verdana" w:hAnsi="Verdana"/>
          <w:sz w:val="20"/>
          <w:szCs w:val="20"/>
        </w:rPr>
        <w:t xml:space="preserve">suspend the APTR until 21 March 2021. </w:t>
      </w:r>
      <w:r w:rsidR="00F45D7B">
        <w:rPr>
          <w:rFonts w:ascii="Verdana" w:hAnsi="Verdana"/>
          <w:sz w:val="20"/>
          <w:szCs w:val="20"/>
        </w:rPr>
        <w:t xml:space="preserve"> However n</w:t>
      </w:r>
      <w:r w:rsidRPr="00F45D7B">
        <w:rPr>
          <w:rFonts w:ascii="Verdana" w:hAnsi="Verdana"/>
          <w:sz w:val="20"/>
          <w:szCs w:val="20"/>
        </w:rPr>
        <w:t xml:space="preserve">othing has materially changed from when that decision was made last year and in that context we do not support any of the three options for reinstatement. Now, or any point in the foreseeable future, is not the time to be reintroducing this tax on the accommodation sector in Auckland. </w:t>
      </w:r>
    </w:p>
    <w:p w14:paraId="0556FE20" w14:textId="77777777" w:rsidR="00EB7CE1" w:rsidRDefault="00EB7CE1" w:rsidP="001A4097">
      <w:pPr>
        <w:ind w:left="360"/>
        <w:contextualSpacing/>
        <w:jc w:val="both"/>
        <w:rPr>
          <w:rFonts w:ascii="Verdana" w:hAnsi="Verdana"/>
          <w:sz w:val="20"/>
          <w:szCs w:val="20"/>
        </w:rPr>
      </w:pPr>
    </w:p>
    <w:p w14:paraId="7DD276A6" w14:textId="5675EECC" w:rsidR="00EB7CE1" w:rsidRPr="00EB7CE1" w:rsidRDefault="00EA70B6" w:rsidP="001A4097">
      <w:pPr>
        <w:numPr>
          <w:ilvl w:val="0"/>
          <w:numId w:val="4"/>
        </w:numPr>
        <w:contextualSpacing/>
        <w:jc w:val="both"/>
        <w:rPr>
          <w:rFonts w:ascii="Verdana" w:hAnsi="Verdana"/>
          <w:sz w:val="20"/>
          <w:szCs w:val="20"/>
        </w:rPr>
      </w:pPr>
      <w:r w:rsidRPr="00EB7CE1">
        <w:rPr>
          <w:rFonts w:ascii="Verdana" w:hAnsi="Verdana"/>
          <w:sz w:val="20"/>
          <w:szCs w:val="20"/>
        </w:rPr>
        <w:t xml:space="preserve">Profitability is being </w:t>
      </w:r>
      <w:r w:rsidR="00715C79" w:rsidRPr="00EB7CE1">
        <w:rPr>
          <w:rFonts w:ascii="Verdana" w:hAnsi="Verdana"/>
          <w:sz w:val="20"/>
          <w:szCs w:val="20"/>
        </w:rPr>
        <w:t xml:space="preserve">severely impacted </w:t>
      </w:r>
      <w:r w:rsidRPr="00EB7CE1">
        <w:rPr>
          <w:rFonts w:ascii="Verdana" w:hAnsi="Verdana"/>
          <w:sz w:val="20"/>
          <w:szCs w:val="20"/>
        </w:rPr>
        <w:t xml:space="preserve">across all the tourism industry, including </w:t>
      </w:r>
      <w:r w:rsidR="00715C79" w:rsidRPr="00EB7CE1">
        <w:rPr>
          <w:rFonts w:ascii="Verdana" w:hAnsi="Verdana"/>
          <w:sz w:val="20"/>
          <w:szCs w:val="20"/>
        </w:rPr>
        <w:t xml:space="preserve">the </w:t>
      </w:r>
      <w:r w:rsidRPr="00EB7CE1">
        <w:rPr>
          <w:rFonts w:ascii="Verdana" w:hAnsi="Verdana"/>
          <w:sz w:val="20"/>
          <w:szCs w:val="20"/>
        </w:rPr>
        <w:t>accommodation</w:t>
      </w:r>
      <w:r w:rsidR="00715C79" w:rsidRPr="00EB7CE1">
        <w:rPr>
          <w:rFonts w:ascii="Verdana" w:hAnsi="Verdana"/>
          <w:sz w:val="20"/>
          <w:szCs w:val="20"/>
        </w:rPr>
        <w:t xml:space="preserve"> sector</w:t>
      </w:r>
      <w:r w:rsidRPr="00EB7CE1">
        <w:rPr>
          <w:rFonts w:ascii="Verdana" w:hAnsi="Verdana"/>
          <w:sz w:val="20"/>
          <w:szCs w:val="20"/>
        </w:rPr>
        <w:t xml:space="preserve">. </w:t>
      </w:r>
      <w:r w:rsidR="0017751B" w:rsidRPr="00EB7CE1">
        <w:rPr>
          <w:rFonts w:ascii="Verdana" w:hAnsi="Verdana"/>
          <w:sz w:val="20"/>
          <w:szCs w:val="20"/>
        </w:rPr>
        <w:t xml:space="preserve">Year to date </w:t>
      </w:r>
      <w:r w:rsidRPr="00EB7CE1">
        <w:rPr>
          <w:rFonts w:ascii="Verdana" w:hAnsi="Verdana"/>
          <w:sz w:val="20"/>
          <w:szCs w:val="20"/>
        </w:rPr>
        <w:t xml:space="preserve">(Jan/Feb 2021) the occupancy rate for </w:t>
      </w:r>
      <w:r w:rsidR="0017751B" w:rsidRPr="00EB7CE1">
        <w:rPr>
          <w:rFonts w:ascii="Verdana" w:hAnsi="Verdana"/>
          <w:sz w:val="20"/>
          <w:szCs w:val="20"/>
        </w:rPr>
        <w:t xml:space="preserve">hotels in the </w:t>
      </w:r>
      <w:r w:rsidRPr="00EB7CE1">
        <w:rPr>
          <w:rFonts w:ascii="Verdana" w:hAnsi="Verdana"/>
          <w:sz w:val="20"/>
          <w:szCs w:val="20"/>
        </w:rPr>
        <w:t xml:space="preserve">Auckland region is 57%, down 29% points from </w:t>
      </w:r>
      <w:r w:rsidR="0017751B" w:rsidRPr="00EB7CE1">
        <w:rPr>
          <w:rFonts w:ascii="Verdana" w:hAnsi="Verdana"/>
          <w:sz w:val="20"/>
          <w:szCs w:val="20"/>
        </w:rPr>
        <w:t xml:space="preserve">86% in </w:t>
      </w:r>
      <w:r w:rsidRPr="00EB7CE1">
        <w:rPr>
          <w:rFonts w:ascii="Verdana" w:hAnsi="Verdana"/>
          <w:sz w:val="20"/>
          <w:szCs w:val="20"/>
        </w:rPr>
        <w:t>Feb</w:t>
      </w:r>
      <w:r w:rsidR="0017751B" w:rsidRPr="00EB7CE1">
        <w:rPr>
          <w:rFonts w:ascii="Verdana" w:hAnsi="Verdana"/>
          <w:sz w:val="20"/>
          <w:szCs w:val="20"/>
        </w:rPr>
        <w:t xml:space="preserve">ruary </w:t>
      </w:r>
      <w:r w:rsidRPr="00EB7CE1">
        <w:rPr>
          <w:rFonts w:ascii="Verdana" w:hAnsi="Verdana"/>
          <w:sz w:val="20"/>
          <w:szCs w:val="20"/>
        </w:rPr>
        <w:t>2020</w:t>
      </w:r>
      <w:r w:rsidR="0017751B" w:rsidRPr="00EB7CE1">
        <w:rPr>
          <w:rFonts w:ascii="Verdana" w:hAnsi="Verdana"/>
          <w:sz w:val="20"/>
          <w:szCs w:val="20"/>
        </w:rPr>
        <w:t>. Rev</w:t>
      </w:r>
      <w:r w:rsidR="003C19E9" w:rsidRPr="00EB7CE1">
        <w:rPr>
          <w:rFonts w:ascii="Verdana" w:hAnsi="Verdana"/>
          <w:sz w:val="20"/>
          <w:szCs w:val="20"/>
        </w:rPr>
        <w:t>enue</w:t>
      </w:r>
      <w:r w:rsidR="00D5066E" w:rsidRPr="00EB7CE1">
        <w:rPr>
          <w:rFonts w:ascii="Verdana" w:hAnsi="Verdana"/>
          <w:sz w:val="20"/>
          <w:szCs w:val="20"/>
        </w:rPr>
        <w:t xml:space="preserve"> </w:t>
      </w:r>
      <w:r w:rsidR="003C19E9" w:rsidRPr="00EB7CE1">
        <w:rPr>
          <w:rFonts w:ascii="Verdana" w:hAnsi="Verdana"/>
          <w:sz w:val="20"/>
          <w:szCs w:val="20"/>
        </w:rPr>
        <w:t>per available room (RevPar</w:t>
      </w:r>
      <w:r w:rsidR="00D5066E">
        <w:rPr>
          <w:rStyle w:val="FootnoteReference"/>
          <w:rFonts w:ascii="Verdana" w:hAnsi="Verdana"/>
          <w:sz w:val="20"/>
          <w:szCs w:val="20"/>
        </w:rPr>
        <w:footnoteReference w:id="2"/>
      </w:r>
      <w:r w:rsidR="003C19E9" w:rsidRPr="00EB7CE1">
        <w:rPr>
          <w:rFonts w:ascii="Verdana" w:hAnsi="Verdana"/>
          <w:sz w:val="20"/>
          <w:szCs w:val="20"/>
        </w:rPr>
        <w:t>)</w:t>
      </w:r>
      <w:r w:rsidR="00326AE5" w:rsidRPr="00EB7CE1">
        <w:rPr>
          <w:rFonts w:ascii="Verdana" w:hAnsi="Verdana"/>
          <w:sz w:val="20"/>
          <w:szCs w:val="20"/>
        </w:rPr>
        <w:t xml:space="preserve"> </w:t>
      </w:r>
      <w:r w:rsidR="003C19E9" w:rsidRPr="00EB7CE1">
        <w:rPr>
          <w:rFonts w:ascii="Verdana" w:hAnsi="Verdana"/>
          <w:sz w:val="20"/>
          <w:szCs w:val="20"/>
        </w:rPr>
        <w:t>i</w:t>
      </w:r>
      <w:r w:rsidRPr="00EB7CE1">
        <w:rPr>
          <w:rFonts w:ascii="Verdana" w:hAnsi="Verdana"/>
          <w:sz w:val="20"/>
          <w:szCs w:val="20"/>
        </w:rPr>
        <w:t xml:space="preserve">s $105, a 78% decline from YTD 2020. </w:t>
      </w:r>
    </w:p>
    <w:p w14:paraId="7694E28E" w14:textId="77777777" w:rsidR="00EB7CE1" w:rsidRDefault="00EB7CE1" w:rsidP="001A4097">
      <w:pPr>
        <w:ind w:left="360"/>
        <w:contextualSpacing/>
        <w:jc w:val="both"/>
        <w:rPr>
          <w:rFonts w:ascii="Verdana" w:hAnsi="Verdana"/>
          <w:sz w:val="20"/>
          <w:szCs w:val="20"/>
        </w:rPr>
      </w:pPr>
    </w:p>
    <w:p w14:paraId="4CB1B483" w14:textId="0B70A12E" w:rsidR="00EA70B6" w:rsidRPr="00EB7CE1" w:rsidRDefault="00EA70B6" w:rsidP="001A4097">
      <w:pPr>
        <w:numPr>
          <w:ilvl w:val="0"/>
          <w:numId w:val="4"/>
        </w:numPr>
        <w:contextualSpacing/>
        <w:jc w:val="both"/>
        <w:rPr>
          <w:rFonts w:ascii="Verdana" w:hAnsi="Verdana"/>
          <w:sz w:val="20"/>
          <w:szCs w:val="20"/>
        </w:rPr>
      </w:pPr>
      <w:r w:rsidRPr="00EB7CE1">
        <w:rPr>
          <w:rFonts w:ascii="Verdana" w:hAnsi="Verdana"/>
          <w:sz w:val="20"/>
          <w:szCs w:val="20"/>
        </w:rPr>
        <w:t xml:space="preserve">These figures are somewhat artificially propped up through </w:t>
      </w:r>
      <w:r w:rsidR="00EB7CE1">
        <w:rPr>
          <w:rFonts w:ascii="Verdana" w:hAnsi="Verdana"/>
          <w:sz w:val="20"/>
          <w:szCs w:val="20"/>
        </w:rPr>
        <w:t xml:space="preserve">the </w:t>
      </w:r>
      <w:r w:rsidR="004D2824">
        <w:rPr>
          <w:rFonts w:ascii="Verdana" w:hAnsi="Verdana"/>
          <w:sz w:val="20"/>
          <w:szCs w:val="20"/>
        </w:rPr>
        <w:t>18</w:t>
      </w:r>
      <w:r w:rsidR="004D2824" w:rsidRPr="00EB7CE1">
        <w:rPr>
          <w:rFonts w:ascii="Verdana" w:hAnsi="Verdana"/>
          <w:sz w:val="20"/>
          <w:szCs w:val="20"/>
        </w:rPr>
        <w:t xml:space="preserve"> </w:t>
      </w:r>
      <w:r w:rsidRPr="00EB7CE1">
        <w:rPr>
          <w:rFonts w:ascii="Verdana" w:hAnsi="Verdana"/>
          <w:sz w:val="20"/>
          <w:szCs w:val="20"/>
        </w:rPr>
        <w:t xml:space="preserve">hotels in Auckland allocated to </w:t>
      </w:r>
      <w:r w:rsidR="00EB7CE1">
        <w:rPr>
          <w:rFonts w:ascii="Verdana" w:hAnsi="Verdana"/>
          <w:sz w:val="20"/>
          <w:szCs w:val="20"/>
        </w:rPr>
        <w:t xml:space="preserve">Managed Isolation and Quarantine </w:t>
      </w:r>
      <w:r w:rsidR="00774B45">
        <w:rPr>
          <w:rFonts w:ascii="Verdana" w:hAnsi="Verdana"/>
          <w:sz w:val="20"/>
          <w:szCs w:val="20"/>
        </w:rPr>
        <w:t>(</w:t>
      </w:r>
      <w:r w:rsidRPr="00EB7CE1">
        <w:rPr>
          <w:rFonts w:ascii="Verdana" w:hAnsi="Verdana"/>
          <w:sz w:val="20"/>
          <w:szCs w:val="20"/>
        </w:rPr>
        <w:t>MIQ</w:t>
      </w:r>
      <w:r w:rsidR="00774B45">
        <w:rPr>
          <w:rFonts w:ascii="Verdana" w:hAnsi="Verdana"/>
          <w:sz w:val="20"/>
          <w:szCs w:val="20"/>
        </w:rPr>
        <w:t>)</w:t>
      </w:r>
      <w:r w:rsidRPr="00EB7CE1">
        <w:rPr>
          <w:rFonts w:ascii="Verdana" w:hAnsi="Verdana"/>
          <w:sz w:val="20"/>
          <w:szCs w:val="20"/>
        </w:rPr>
        <w:t>. When A</w:t>
      </w:r>
      <w:r w:rsidR="00774B45">
        <w:rPr>
          <w:rFonts w:ascii="Verdana" w:hAnsi="Verdana"/>
          <w:sz w:val="20"/>
          <w:szCs w:val="20"/>
        </w:rPr>
        <w:t>uckland</w:t>
      </w:r>
      <w:r w:rsidRPr="00EB7CE1">
        <w:rPr>
          <w:rFonts w:ascii="Verdana" w:hAnsi="Verdana"/>
          <w:sz w:val="20"/>
          <w:szCs w:val="20"/>
        </w:rPr>
        <w:t xml:space="preserve"> MIQ properties are excluded</w:t>
      </w:r>
      <w:r w:rsidR="00F40E2F">
        <w:rPr>
          <w:rFonts w:ascii="Verdana" w:hAnsi="Verdana"/>
          <w:sz w:val="20"/>
          <w:szCs w:val="20"/>
        </w:rPr>
        <w:t>,</w:t>
      </w:r>
      <w:r w:rsidRPr="00EB7CE1">
        <w:rPr>
          <w:rFonts w:ascii="Verdana" w:hAnsi="Verdana"/>
          <w:sz w:val="20"/>
          <w:szCs w:val="20"/>
        </w:rPr>
        <w:t xml:space="preserve"> </w:t>
      </w:r>
      <w:r w:rsidR="00774B45">
        <w:rPr>
          <w:rFonts w:ascii="Verdana" w:hAnsi="Verdana"/>
          <w:sz w:val="20"/>
          <w:szCs w:val="20"/>
        </w:rPr>
        <w:t>o</w:t>
      </w:r>
      <w:r w:rsidRPr="00EB7CE1">
        <w:rPr>
          <w:rFonts w:ascii="Verdana" w:hAnsi="Verdana"/>
          <w:sz w:val="20"/>
          <w:szCs w:val="20"/>
        </w:rPr>
        <w:t xml:space="preserve">ccupancy YTD falls further to 46% and the RevPar </w:t>
      </w:r>
      <w:r w:rsidR="00774B45">
        <w:rPr>
          <w:rFonts w:ascii="Verdana" w:hAnsi="Verdana"/>
          <w:sz w:val="20"/>
          <w:szCs w:val="20"/>
        </w:rPr>
        <w:t xml:space="preserve">to </w:t>
      </w:r>
      <w:r w:rsidRPr="00EB7CE1">
        <w:rPr>
          <w:rFonts w:ascii="Verdana" w:hAnsi="Verdana"/>
          <w:sz w:val="20"/>
          <w:szCs w:val="20"/>
        </w:rPr>
        <w:t>$82. When these contracts come off there will be a huge return of capacity into the market</w:t>
      </w:r>
      <w:r w:rsidR="005C31C4">
        <w:rPr>
          <w:rFonts w:ascii="Verdana" w:hAnsi="Verdana"/>
          <w:sz w:val="20"/>
          <w:szCs w:val="20"/>
        </w:rPr>
        <w:t>,</w:t>
      </w:r>
      <w:r w:rsidRPr="00EB7CE1">
        <w:rPr>
          <w:rFonts w:ascii="Verdana" w:hAnsi="Verdana"/>
          <w:sz w:val="20"/>
          <w:szCs w:val="20"/>
        </w:rPr>
        <w:t xml:space="preserve"> putting increased pressure on occupancy and rate, </w:t>
      </w:r>
      <w:r w:rsidR="00925166">
        <w:rPr>
          <w:rFonts w:ascii="Verdana" w:hAnsi="Verdana"/>
          <w:sz w:val="20"/>
          <w:szCs w:val="20"/>
        </w:rPr>
        <w:t xml:space="preserve">and </w:t>
      </w:r>
      <w:r w:rsidRPr="00EB7CE1">
        <w:rPr>
          <w:rFonts w:ascii="Verdana" w:hAnsi="Verdana"/>
          <w:sz w:val="20"/>
          <w:szCs w:val="20"/>
        </w:rPr>
        <w:t>negatively impacting on profitability again.</w:t>
      </w:r>
    </w:p>
    <w:p w14:paraId="2D4ABDC6" w14:textId="77777777" w:rsidR="00EB7CE1" w:rsidRDefault="00EB7CE1" w:rsidP="001A4097">
      <w:pPr>
        <w:contextualSpacing/>
        <w:jc w:val="both"/>
        <w:rPr>
          <w:rFonts w:ascii="Verdana" w:hAnsi="Verdana"/>
          <w:sz w:val="20"/>
          <w:szCs w:val="20"/>
        </w:rPr>
      </w:pPr>
    </w:p>
    <w:p w14:paraId="5866E340" w14:textId="051D97FE" w:rsidR="00EA70B6" w:rsidRDefault="00EA70B6" w:rsidP="001A4097">
      <w:pPr>
        <w:numPr>
          <w:ilvl w:val="0"/>
          <w:numId w:val="4"/>
        </w:numPr>
        <w:contextualSpacing/>
        <w:jc w:val="both"/>
        <w:rPr>
          <w:rFonts w:ascii="Verdana" w:hAnsi="Verdana"/>
          <w:sz w:val="20"/>
          <w:szCs w:val="20"/>
        </w:rPr>
      </w:pPr>
      <w:r w:rsidRPr="5B8F635E">
        <w:rPr>
          <w:rFonts w:ascii="Verdana" w:hAnsi="Verdana"/>
          <w:sz w:val="20"/>
          <w:szCs w:val="20"/>
        </w:rPr>
        <w:t xml:space="preserve">It is unclear whether MIQ properties would be required to pay the APTR if their businesses are used for MIQ at the time of </w:t>
      </w:r>
      <w:r>
        <w:rPr>
          <w:rFonts w:ascii="Verdana" w:hAnsi="Verdana"/>
          <w:sz w:val="20"/>
          <w:szCs w:val="20"/>
        </w:rPr>
        <w:t xml:space="preserve">any </w:t>
      </w:r>
      <w:r w:rsidRPr="5B8F635E">
        <w:rPr>
          <w:rFonts w:ascii="Verdana" w:hAnsi="Verdana"/>
          <w:sz w:val="20"/>
          <w:szCs w:val="20"/>
        </w:rPr>
        <w:t xml:space="preserve">reintroduction.  Based on the 2018/19 remission criteria they would be justified in seeking a remission on the APTR, if accommodation is contracted to central government for the purpose of emergency housing. </w:t>
      </w:r>
    </w:p>
    <w:p w14:paraId="5B5CA411" w14:textId="77777777" w:rsidR="0099210F" w:rsidRDefault="0099210F" w:rsidP="001A4097">
      <w:pPr>
        <w:ind w:left="360"/>
        <w:contextualSpacing/>
        <w:jc w:val="both"/>
        <w:rPr>
          <w:rFonts w:ascii="Verdana" w:hAnsi="Verdana"/>
          <w:sz w:val="20"/>
          <w:szCs w:val="20"/>
        </w:rPr>
      </w:pPr>
    </w:p>
    <w:p w14:paraId="02A748AB" w14:textId="5B860DA1" w:rsidR="00EA70B6" w:rsidRPr="007C7AE7" w:rsidRDefault="00EA70B6" w:rsidP="001A4097">
      <w:pPr>
        <w:numPr>
          <w:ilvl w:val="0"/>
          <w:numId w:val="4"/>
        </w:numPr>
        <w:contextualSpacing/>
        <w:jc w:val="both"/>
        <w:rPr>
          <w:rFonts w:ascii="Verdana" w:hAnsi="Verdana"/>
          <w:sz w:val="20"/>
          <w:szCs w:val="20"/>
        </w:rPr>
      </w:pPr>
      <w:r w:rsidRPr="00686893">
        <w:rPr>
          <w:rFonts w:ascii="Verdana" w:hAnsi="Verdana"/>
          <w:sz w:val="20"/>
          <w:szCs w:val="20"/>
        </w:rPr>
        <w:t>There is huge uncertainty in the industry.</w:t>
      </w:r>
      <w:r w:rsidRPr="5B8F635E">
        <w:rPr>
          <w:rFonts w:ascii="Verdana" w:hAnsi="Verdana"/>
          <w:sz w:val="20"/>
          <w:szCs w:val="20"/>
        </w:rPr>
        <w:t xml:space="preserve"> We need a reopening of the border and the reliable return of international markets out of Asia, America and Europe to bring confidence back. A re-opening just to Australia may have limited impact on Auckland accommodation as much of that segment is VFR - Visiting Friends and Relatives. </w:t>
      </w:r>
      <w:r w:rsidR="00AE60A1" w:rsidRPr="007C7AE7">
        <w:rPr>
          <w:rFonts w:ascii="Verdana" w:hAnsi="Verdana"/>
          <w:sz w:val="20"/>
          <w:szCs w:val="20"/>
        </w:rPr>
        <w:t>It is</w:t>
      </w:r>
      <w:r w:rsidRPr="007C7AE7">
        <w:rPr>
          <w:rFonts w:ascii="Verdana" w:hAnsi="Verdana"/>
          <w:sz w:val="20"/>
          <w:szCs w:val="20"/>
        </w:rPr>
        <w:t xml:space="preserve"> becoming quite clear that reopening to destinations beyond Australia </w:t>
      </w:r>
      <w:r w:rsidR="00AE60A1" w:rsidRPr="007C7AE7">
        <w:rPr>
          <w:rFonts w:ascii="Verdana" w:hAnsi="Verdana"/>
          <w:sz w:val="20"/>
          <w:szCs w:val="20"/>
        </w:rPr>
        <w:t>will not</w:t>
      </w:r>
      <w:r w:rsidRPr="007C7AE7">
        <w:rPr>
          <w:rFonts w:ascii="Verdana" w:hAnsi="Verdana"/>
          <w:sz w:val="20"/>
          <w:szCs w:val="20"/>
        </w:rPr>
        <w:t xml:space="preserve"> occur in 2021. And it will be a gradual return as airlines build capacity and reschedule flights to NZ. A recovery for tourism in New Zealand – and a recovery for commercial accommodation providers – could take </w:t>
      </w:r>
      <w:r w:rsidR="00DC779F">
        <w:rPr>
          <w:rFonts w:ascii="Verdana" w:hAnsi="Verdana"/>
          <w:sz w:val="20"/>
          <w:szCs w:val="20"/>
        </w:rPr>
        <w:t>five</w:t>
      </w:r>
      <w:r w:rsidR="00DC779F" w:rsidRPr="007C7AE7">
        <w:rPr>
          <w:rFonts w:ascii="Verdana" w:hAnsi="Verdana"/>
          <w:sz w:val="20"/>
          <w:szCs w:val="20"/>
        </w:rPr>
        <w:t xml:space="preserve"> </w:t>
      </w:r>
      <w:r w:rsidRPr="007C7AE7">
        <w:rPr>
          <w:rFonts w:ascii="Verdana" w:hAnsi="Verdana"/>
          <w:sz w:val="20"/>
          <w:szCs w:val="20"/>
        </w:rPr>
        <w:t>years or longer.</w:t>
      </w:r>
    </w:p>
    <w:p w14:paraId="57720563" w14:textId="77777777" w:rsidR="007C7AE7" w:rsidRDefault="007C7AE7" w:rsidP="001A4097">
      <w:pPr>
        <w:ind w:left="360"/>
        <w:contextualSpacing/>
        <w:jc w:val="both"/>
        <w:rPr>
          <w:rFonts w:ascii="Verdana" w:hAnsi="Verdana"/>
          <w:sz w:val="20"/>
          <w:szCs w:val="20"/>
        </w:rPr>
      </w:pPr>
    </w:p>
    <w:p w14:paraId="669B8316" w14:textId="7BDD452C" w:rsidR="00EA70B6" w:rsidRDefault="00EA70B6" w:rsidP="001A4097">
      <w:pPr>
        <w:numPr>
          <w:ilvl w:val="0"/>
          <w:numId w:val="4"/>
        </w:numPr>
        <w:contextualSpacing/>
        <w:jc w:val="both"/>
        <w:rPr>
          <w:rFonts w:ascii="Verdana" w:hAnsi="Verdana"/>
          <w:sz w:val="20"/>
          <w:szCs w:val="20"/>
        </w:rPr>
      </w:pPr>
      <w:r w:rsidRPr="009C2E20">
        <w:rPr>
          <w:rFonts w:ascii="Verdana" w:hAnsi="Verdana"/>
          <w:sz w:val="20"/>
          <w:szCs w:val="20"/>
        </w:rPr>
        <w:t xml:space="preserve">The coming months </w:t>
      </w:r>
      <w:r>
        <w:rPr>
          <w:rFonts w:ascii="Verdana" w:hAnsi="Verdana"/>
          <w:sz w:val="20"/>
          <w:szCs w:val="20"/>
        </w:rPr>
        <w:t xml:space="preserve">– the immediate future  - </w:t>
      </w:r>
      <w:r w:rsidRPr="009C2E20">
        <w:rPr>
          <w:rFonts w:ascii="Verdana" w:hAnsi="Verdana"/>
          <w:sz w:val="20"/>
          <w:szCs w:val="20"/>
        </w:rPr>
        <w:t>are going to be very difficult for tourism across the country, including in Auckland.  N</w:t>
      </w:r>
      <w:r w:rsidR="00B8259B">
        <w:rPr>
          <w:rFonts w:ascii="Verdana" w:hAnsi="Verdana"/>
          <w:sz w:val="20"/>
          <w:szCs w:val="20"/>
        </w:rPr>
        <w:t xml:space="preserve">ew </w:t>
      </w:r>
      <w:r w:rsidRPr="009C2E20">
        <w:rPr>
          <w:rFonts w:ascii="Verdana" w:hAnsi="Verdana"/>
          <w:sz w:val="20"/>
          <w:szCs w:val="20"/>
        </w:rPr>
        <w:t>Z</w:t>
      </w:r>
      <w:r w:rsidR="00B8259B">
        <w:rPr>
          <w:rFonts w:ascii="Verdana" w:hAnsi="Verdana"/>
          <w:sz w:val="20"/>
          <w:szCs w:val="20"/>
        </w:rPr>
        <w:t>ealanders</w:t>
      </w:r>
      <w:r w:rsidR="00931643">
        <w:rPr>
          <w:rFonts w:ascii="Verdana" w:hAnsi="Verdana"/>
          <w:sz w:val="20"/>
          <w:szCs w:val="20"/>
        </w:rPr>
        <w:t>’</w:t>
      </w:r>
      <w:r w:rsidRPr="009C2E20">
        <w:rPr>
          <w:rFonts w:ascii="Verdana" w:hAnsi="Verdana"/>
          <w:sz w:val="20"/>
          <w:szCs w:val="20"/>
        </w:rPr>
        <w:t xml:space="preserve"> travel habits and behaviours are starting to change in the regular roller-coaster between alert levels.  There is a huge wash of bookings as soon as an increase in </w:t>
      </w:r>
      <w:r w:rsidR="00CF30BB">
        <w:rPr>
          <w:rFonts w:ascii="Verdana" w:hAnsi="Verdana"/>
          <w:sz w:val="20"/>
          <w:szCs w:val="20"/>
        </w:rPr>
        <w:t>A</w:t>
      </w:r>
      <w:r w:rsidRPr="009C2E20">
        <w:rPr>
          <w:rFonts w:ascii="Verdana" w:hAnsi="Verdana"/>
          <w:sz w:val="20"/>
          <w:szCs w:val="20"/>
        </w:rPr>
        <w:t xml:space="preserve">lert </w:t>
      </w:r>
      <w:r w:rsidR="00095697">
        <w:rPr>
          <w:rFonts w:ascii="Verdana" w:hAnsi="Verdana"/>
          <w:sz w:val="20"/>
          <w:szCs w:val="20"/>
        </w:rPr>
        <w:t>L</w:t>
      </w:r>
      <w:r w:rsidRPr="009C2E20">
        <w:rPr>
          <w:rFonts w:ascii="Verdana" w:hAnsi="Verdana"/>
          <w:sz w:val="20"/>
          <w:szCs w:val="20"/>
        </w:rPr>
        <w:t xml:space="preserve">evel looks imminent.  </w:t>
      </w:r>
      <w:r w:rsidR="00BF6422">
        <w:rPr>
          <w:rFonts w:ascii="Verdana" w:hAnsi="Verdana"/>
          <w:sz w:val="20"/>
          <w:szCs w:val="20"/>
        </w:rPr>
        <w:t>C</w:t>
      </w:r>
      <w:r w:rsidRPr="009C2E20">
        <w:rPr>
          <w:rFonts w:ascii="Verdana" w:hAnsi="Verdana"/>
          <w:sz w:val="20"/>
          <w:szCs w:val="20"/>
        </w:rPr>
        <w:t>onfidence to travel, particularly in the leisure market</w:t>
      </w:r>
      <w:r w:rsidR="00902DD9">
        <w:rPr>
          <w:rFonts w:ascii="Verdana" w:hAnsi="Verdana"/>
          <w:sz w:val="20"/>
          <w:szCs w:val="20"/>
        </w:rPr>
        <w:t>,</w:t>
      </w:r>
      <w:r w:rsidRPr="009C2E20">
        <w:rPr>
          <w:rFonts w:ascii="Verdana" w:hAnsi="Verdana"/>
          <w:sz w:val="20"/>
          <w:szCs w:val="20"/>
        </w:rPr>
        <w:t xml:space="preserve"> is being knocked and re</w:t>
      </w:r>
      <w:r w:rsidR="00BF6422">
        <w:rPr>
          <w:rFonts w:ascii="Verdana" w:hAnsi="Verdana"/>
          <w:sz w:val="20"/>
          <w:szCs w:val="20"/>
        </w:rPr>
        <w:t>-</w:t>
      </w:r>
      <w:r w:rsidRPr="009C2E20">
        <w:rPr>
          <w:rFonts w:ascii="Verdana" w:hAnsi="Verdana"/>
          <w:sz w:val="20"/>
          <w:szCs w:val="20"/>
        </w:rPr>
        <w:t xml:space="preserve">bookings are </w:t>
      </w:r>
      <w:r>
        <w:rPr>
          <w:rFonts w:ascii="Verdana" w:hAnsi="Verdana"/>
          <w:sz w:val="20"/>
          <w:szCs w:val="20"/>
        </w:rPr>
        <w:t xml:space="preserve">now </w:t>
      </w:r>
      <w:r w:rsidRPr="009C2E20">
        <w:rPr>
          <w:rFonts w:ascii="Verdana" w:hAnsi="Verdana"/>
          <w:sz w:val="20"/>
          <w:szCs w:val="20"/>
        </w:rPr>
        <w:t xml:space="preserve">slower that after earlier lockdowns. This trend will likely continue as </w:t>
      </w:r>
      <w:r w:rsidRPr="009C2E20">
        <w:rPr>
          <w:rFonts w:ascii="Verdana" w:hAnsi="Verdana"/>
          <w:sz w:val="20"/>
          <w:szCs w:val="20"/>
        </w:rPr>
        <w:lastRenderedPageBreak/>
        <w:t>the year progresses</w:t>
      </w:r>
      <w:r>
        <w:rPr>
          <w:rFonts w:ascii="Verdana" w:hAnsi="Verdana"/>
          <w:sz w:val="20"/>
          <w:szCs w:val="20"/>
        </w:rPr>
        <w:t xml:space="preserve"> and if Alert Levels are raised,</w:t>
      </w:r>
      <w:r w:rsidRPr="009C2E20">
        <w:rPr>
          <w:rFonts w:ascii="Verdana" w:hAnsi="Verdana"/>
          <w:sz w:val="20"/>
          <w:szCs w:val="20"/>
        </w:rPr>
        <w:t xml:space="preserve"> and it may take longer to restore confidence to travel. </w:t>
      </w:r>
    </w:p>
    <w:p w14:paraId="17C24EF3" w14:textId="77777777" w:rsidR="003D1EA0" w:rsidRDefault="003D1EA0" w:rsidP="001A4097">
      <w:pPr>
        <w:ind w:left="360"/>
        <w:contextualSpacing/>
        <w:jc w:val="both"/>
        <w:rPr>
          <w:rFonts w:ascii="Verdana" w:hAnsi="Verdana"/>
          <w:sz w:val="20"/>
          <w:szCs w:val="20"/>
        </w:rPr>
      </w:pPr>
    </w:p>
    <w:p w14:paraId="7700E152" w14:textId="5CEFA2F0" w:rsidR="00EA70B6" w:rsidRPr="009C2E20" w:rsidRDefault="00EA70B6" w:rsidP="001A4097">
      <w:pPr>
        <w:numPr>
          <w:ilvl w:val="0"/>
          <w:numId w:val="4"/>
        </w:numPr>
        <w:contextualSpacing/>
        <w:jc w:val="both"/>
        <w:rPr>
          <w:rFonts w:ascii="Verdana" w:hAnsi="Verdana"/>
          <w:sz w:val="20"/>
          <w:szCs w:val="20"/>
        </w:rPr>
      </w:pPr>
      <w:r w:rsidRPr="5B8F635E">
        <w:rPr>
          <w:rFonts w:ascii="Verdana" w:hAnsi="Verdana"/>
          <w:sz w:val="20"/>
          <w:szCs w:val="20"/>
        </w:rPr>
        <w:t xml:space="preserve">One of the important pieces of infrastructure to support the return of confidence will be the completion of the </w:t>
      </w:r>
      <w:r w:rsidR="002769CB">
        <w:rPr>
          <w:rFonts w:ascii="Verdana" w:hAnsi="Verdana"/>
          <w:sz w:val="20"/>
          <w:szCs w:val="20"/>
        </w:rPr>
        <w:t>New Zealand</w:t>
      </w:r>
      <w:r w:rsidR="002769CB" w:rsidRPr="5B8F635E">
        <w:rPr>
          <w:rFonts w:ascii="Verdana" w:hAnsi="Verdana"/>
          <w:sz w:val="20"/>
          <w:szCs w:val="20"/>
        </w:rPr>
        <w:t xml:space="preserve"> </w:t>
      </w:r>
      <w:r w:rsidRPr="5B8F635E">
        <w:rPr>
          <w:rFonts w:ascii="Verdana" w:hAnsi="Verdana"/>
          <w:sz w:val="20"/>
          <w:szCs w:val="20"/>
        </w:rPr>
        <w:t xml:space="preserve">Convention Centre. This is currently scheduled </w:t>
      </w:r>
      <w:r w:rsidR="007D0E75">
        <w:rPr>
          <w:rFonts w:ascii="Verdana" w:hAnsi="Verdana"/>
          <w:sz w:val="20"/>
          <w:szCs w:val="20"/>
        </w:rPr>
        <w:t>to open in</w:t>
      </w:r>
      <w:r w:rsidR="007D0E75" w:rsidRPr="5B8F635E">
        <w:rPr>
          <w:rFonts w:ascii="Verdana" w:hAnsi="Verdana"/>
          <w:sz w:val="20"/>
          <w:szCs w:val="20"/>
        </w:rPr>
        <w:t xml:space="preserve"> </w:t>
      </w:r>
      <w:r>
        <w:rPr>
          <w:rFonts w:ascii="Verdana" w:hAnsi="Verdana"/>
          <w:sz w:val="20"/>
          <w:szCs w:val="20"/>
        </w:rPr>
        <w:t>2024</w:t>
      </w:r>
      <w:r w:rsidRPr="5B8F635E">
        <w:rPr>
          <w:rFonts w:ascii="Verdana" w:hAnsi="Verdana"/>
          <w:sz w:val="20"/>
          <w:szCs w:val="20"/>
        </w:rPr>
        <w:t xml:space="preserve">, and when </w:t>
      </w:r>
      <w:r w:rsidR="00632D0A">
        <w:rPr>
          <w:rFonts w:ascii="Verdana" w:hAnsi="Verdana"/>
          <w:sz w:val="20"/>
          <w:szCs w:val="20"/>
        </w:rPr>
        <w:t>available</w:t>
      </w:r>
      <w:r w:rsidR="00632D0A" w:rsidRPr="5B8F635E">
        <w:rPr>
          <w:rFonts w:ascii="Verdana" w:hAnsi="Verdana"/>
          <w:sz w:val="20"/>
          <w:szCs w:val="20"/>
        </w:rPr>
        <w:t xml:space="preserve"> </w:t>
      </w:r>
      <w:r w:rsidRPr="5B8F635E">
        <w:rPr>
          <w:rFonts w:ascii="Verdana" w:hAnsi="Verdana"/>
          <w:sz w:val="20"/>
          <w:szCs w:val="20"/>
        </w:rPr>
        <w:t>should bring good benefits to the hotel and accommodation sector. Until then, Auckland remains unable to attract the large conferences that would help fill hotel rooms in the city.</w:t>
      </w:r>
    </w:p>
    <w:p w14:paraId="16F27C91" w14:textId="77777777" w:rsidR="003D1EA0" w:rsidRDefault="003D1EA0" w:rsidP="001A4097">
      <w:pPr>
        <w:ind w:left="360"/>
        <w:contextualSpacing/>
        <w:jc w:val="both"/>
        <w:rPr>
          <w:rFonts w:ascii="Verdana" w:hAnsi="Verdana"/>
          <w:sz w:val="20"/>
          <w:szCs w:val="20"/>
        </w:rPr>
      </w:pPr>
    </w:p>
    <w:p w14:paraId="77D10112" w14:textId="78922550" w:rsidR="00EA70B6" w:rsidRPr="009C2E20" w:rsidRDefault="003D1EA0" w:rsidP="001A4097">
      <w:pPr>
        <w:numPr>
          <w:ilvl w:val="0"/>
          <w:numId w:val="4"/>
        </w:numPr>
        <w:contextualSpacing/>
        <w:jc w:val="both"/>
        <w:rPr>
          <w:rFonts w:ascii="Verdana" w:hAnsi="Verdana"/>
          <w:sz w:val="20"/>
          <w:szCs w:val="20"/>
        </w:rPr>
      </w:pPr>
      <w:r>
        <w:rPr>
          <w:rFonts w:ascii="Verdana" w:hAnsi="Verdana"/>
          <w:sz w:val="20"/>
          <w:szCs w:val="20"/>
        </w:rPr>
        <w:t>T</w:t>
      </w:r>
      <w:r w:rsidR="00EA70B6" w:rsidRPr="009C2E20">
        <w:rPr>
          <w:rFonts w:ascii="Verdana" w:hAnsi="Verdana"/>
          <w:sz w:val="20"/>
          <w:szCs w:val="20"/>
        </w:rPr>
        <w:t xml:space="preserve">he attempts by Auckland Council to get the </w:t>
      </w:r>
      <w:r w:rsidR="00EA70B6">
        <w:rPr>
          <w:rFonts w:ascii="Verdana" w:hAnsi="Verdana"/>
          <w:sz w:val="20"/>
          <w:szCs w:val="20"/>
        </w:rPr>
        <w:t>so-called non-commercial</w:t>
      </w:r>
      <w:r w:rsidR="00EA70B6" w:rsidRPr="009C2E20">
        <w:rPr>
          <w:rFonts w:ascii="Verdana" w:hAnsi="Verdana"/>
          <w:sz w:val="20"/>
          <w:szCs w:val="20"/>
        </w:rPr>
        <w:t xml:space="preserve"> accommodation sector to contribute to the APTR have </w:t>
      </w:r>
      <w:r w:rsidR="00EA70B6">
        <w:rPr>
          <w:rFonts w:ascii="Verdana" w:hAnsi="Verdana"/>
          <w:sz w:val="20"/>
          <w:szCs w:val="20"/>
        </w:rPr>
        <w:t>largely failed</w:t>
      </w:r>
      <w:r w:rsidR="00EA70B6" w:rsidRPr="009C2E20">
        <w:rPr>
          <w:rFonts w:ascii="Verdana" w:hAnsi="Verdana"/>
          <w:sz w:val="20"/>
          <w:szCs w:val="20"/>
        </w:rPr>
        <w:t xml:space="preserve">, with only a </w:t>
      </w:r>
      <w:r w:rsidR="00EA70B6">
        <w:rPr>
          <w:rFonts w:ascii="Verdana" w:hAnsi="Verdana"/>
          <w:sz w:val="20"/>
          <w:szCs w:val="20"/>
        </w:rPr>
        <w:t xml:space="preserve">small minority </w:t>
      </w:r>
      <w:r w:rsidR="00EA70B6" w:rsidRPr="009C2E20">
        <w:rPr>
          <w:rFonts w:ascii="Verdana" w:hAnsi="Verdana"/>
          <w:sz w:val="20"/>
          <w:szCs w:val="20"/>
        </w:rPr>
        <w:t xml:space="preserve">of  operators </w:t>
      </w:r>
      <w:r w:rsidR="00EA70B6">
        <w:rPr>
          <w:rFonts w:ascii="Verdana" w:hAnsi="Verdana"/>
          <w:sz w:val="20"/>
          <w:szCs w:val="20"/>
        </w:rPr>
        <w:t>using platforms like</w:t>
      </w:r>
      <w:r w:rsidR="00EA70B6" w:rsidRPr="009C2E20">
        <w:rPr>
          <w:rFonts w:ascii="Verdana" w:hAnsi="Verdana"/>
          <w:sz w:val="20"/>
          <w:szCs w:val="20"/>
        </w:rPr>
        <w:t xml:space="preserve"> Airbnb contributing. </w:t>
      </w:r>
      <w:r w:rsidR="00EA70B6">
        <w:rPr>
          <w:rFonts w:ascii="Verdana" w:hAnsi="Verdana"/>
          <w:sz w:val="20"/>
          <w:szCs w:val="20"/>
        </w:rPr>
        <w:t xml:space="preserve">An inter-agency government group including </w:t>
      </w:r>
      <w:r w:rsidR="00EA70B6" w:rsidRPr="009C2E20">
        <w:rPr>
          <w:rFonts w:ascii="Verdana" w:hAnsi="Verdana"/>
          <w:sz w:val="20"/>
          <w:szCs w:val="20"/>
        </w:rPr>
        <w:t xml:space="preserve">MBIE Tourism have commenced a review of the sector, </w:t>
      </w:r>
      <w:r w:rsidR="00EA70B6">
        <w:rPr>
          <w:rFonts w:ascii="Verdana" w:hAnsi="Verdana"/>
          <w:sz w:val="20"/>
          <w:szCs w:val="20"/>
        </w:rPr>
        <w:t xml:space="preserve">called the </w:t>
      </w:r>
      <w:r w:rsidR="00EA70B6" w:rsidRPr="009C2E20">
        <w:rPr>
          <w:rFonts w:ascii="Verdana" w:hAnsi="Verdana"/>
          <w:sz w:val="20"/>
          <w:szCs w:val="20"/>
        </w:rPr>
        <w:t>Short-term</w:t>
      </w:r>
      <w:r w:rsidR="00EA70B6">
        <w:rPr>
          <w:rFonts w:ascii="Verdana" w:hAnsi="Verdana"/>
          <w:sz w:val="20"/>
          <w:szCs w:val="20"/>
        </w:rPr>
        <w:t xml:space="preserve"> Rental Accommodation</w:t>
      </w:r>
      <w:r w:rsidR="00EA70B6" w:rsidRPr="009C2E20">
        <w:rPr>
          <w:rFonts w:ascii="Verdana" w:hAnsi="Verdana"/>
          <w:sz w:val="20"/>
          <w:szCs w:val="20"/>
        </w:rPr>
        <w:t xml:space="preserve"> (</w:t>
      </w:r>
      <w:r w:rsidR="00EA70B6" w:rsidRPr="00107E52">
        <w:rPr>
          <w:rFonts w:ascii="Verdana" w:hAnsi="Verdana"/>
          <w:sz w:val="20"/>
          <w:szCs w:val="20"/>
        </w:rPr>
        <w:t>STRA</w:t>
      </w:r>
      <w:r w:rsidR="00EA70B6" w:rsidRPr="009C2E20">
        <w:rPr>
          <w:rFonts w:ascii="Verdana" w:hAnsi="Verdana"/>
          <w:sz w:val="20"/>
          <w:szCs w:val="20"/>
        </w:rPr>
        <w:t>)</w:t>
      </w:r>
      <w:r w:rsidR="00EA70B6">
        <w:rPr>
          <w:rFonts w:ascii="Verdana" w:hAnsi="Verdana"/>
          <w:sz w:val="20"/>
          <w:szCs w:val="20"/>
        </w:rPr>
        <w:t xml:space="preserve"> Review</w:t>
      </w:r>
      <w:r w:rsidR="00200738">
        <w:rPr>
          <w:rFonts w:ascii="Verdana" w:hAnsi="Verdana"/>
          <w:sz w:val="20"/>
          <w:szCs w:val="20"/>
        </w:rPr>
        <w:t xml:space="preserve">. One preferred outcome from this review is a more level playing field across all the accommodation sector when it comes to payment of </w:t>
      </w:r>
      <w:r w:rsidR="001B25ED">
        <w:rPr>
          <w:rFonts w:ascii="Verdana" w:hAnsi="Verdana"/>
          <w:sz w:val="20"/>
          <w:szCs w:val="20"/>
        </w:rPr>
        <w:t>rates and levies as well as compliance requirements.</w:t>
      </w:r>
      <w:r w:rsidR="00EA70B6" w:rsidRPr="009C2E20">
        <w:rPr>
          <w:rFonts w:ascii="Verdana" w:hAnsi="Verdana"/>
          <w:sz w:val="20"/>
          <w:szCs w:val="20"/>
        </w:rPr>
        <w:t xml:space="preserve"> </w:t>
      </w:r>
      <w:r w:rsidR="001B25ED">
        <w:rPr>
          <w:rFonts w:ascii="Verdana" w:hAnsi="Verdana"/>
          <w:sz w:val="20"/>
          <w:szCs w:val="20"/>
        </w:rPr>
        <w:t>Unfortunately</w:t>
      </w:r>
      <w:r w:rsidR="002D7893">
        <w:rPr>
          <w:rFonts w:ascii="Verdana" w:hAnsi="Verdana"/>
          <w:sz w:val="20"/>
          <w:szCs w:val="20"/>
        </w:rPr>
        <w:t>,</w:t>
      </w:r>
      <w:r w:rsidR="001B25ED">
        <w:rPr>
          <w:rFonts w:ascii="Verdana" w:hAnsi="Verdana"/>
          <w:sz w:val="20"/>
          <w:szCs w:val="20"/>
        </w:rPr>
        <w:t xml:space="preserve"> </w:t>
      </w:r>
      <w:r w:rsidR="00EA70B6">
        <w:rPr>
          <w:rFonts w:ascii="Verdana" w:hAnsi="Verdana"/>
          <w:sz w:val="20"/>
          <w:szCs w:val="20"/>
        </w:rPr>
        <w:t xml:space="preserve">this work is </w:t>
      </w:r>
      <w:r w:rsidR="001B25ED">
        <w:rPr>
          <w:rFonts w:ascii="Verdana" w:hAnsi="Verdana"/>
          <w:sz w:val="20"/>
          <w:szCs w:val="20"/>
        </w:rPr>
        <w:t xml:space="preserve">currently </w:t>
      </w:r>
      <w:r w:rsidR="00EA70B6" w:rsidRPr="009C2E20">
        <w:rPr>
          <w:rFonts w:ascii="Verdana" w:hAnsi="Verdana"/>
          <w:sz w:val="20"/>
          <w:szCs w:val="20"/>
        </w:rPr>
        <w:t>paused while the Minister of Tourism focuses on other priorities.</w:t>
      </w:r>
      <w:r w:rsidR="00EA70B6">
        <w:rPr>
          <w:rFonts w:ascii="Verdana" w:hAnsi="Verdana"/>
          <w:sz w:val="20"/>
          <w:szCs w:val="20"/>
        </w:rPr>
        <w:t xml:space="preserve"> </w:t>
      </w:r>
    </w:p>
    <w:p w14:paraId="25655061" w14:textId="77777777" w:rsidR="003D1EA0" w:rsidRDefault="003D1EA0" w:rsidP="001A4097">
      <w:pPr>
        <w:ind w:left="360"/>
        <w:contextualSpacing/>
        <w:jc w:val="both"/>
        <w:rPr>
          <w:rFonts w:ascii="Verdana" w:hAnsi="Verdana"/>
          <w:sz w:val="20"/>
          <w:szCs w:val="20"/>
        </w:rPr>
      </w:pPr>
    </w:p>
    <w:p w14:paraId="2822FA2A" w14:textId="5E0949E9" w:rsidR="00EA70B6" w:rsidRPr="00107E52" w:rsidRDefault="00EA70B6" w:rsidP="001A4097">
      <w:pPr>
        <w:numPr>
          <w:ilvl w:val="0"/>
          <w:numId w:val="4"/>
        </w:numPr>
        <w:contextualSpacing/>
        <w:jc w:val="both"/>
        <w:rPr>
          <w:rFonts w:ascii="Verdana" w:hAnsi="Verdana"/>
          <w:sz w:val="20"/>
          <w:szCs w:val="20"/>
        </w:rPr>
      </w:pPr>
      <w:r>
        <w:rPr>
          <w:rFonts w:ascii="Verdana" w:hAnsi="Verdana"/>
          <w:sz w:val="20"/>
          <w:szCs w:val="20"/>
        </w:rPr>
        <w:t xml:space="preserve">The closed borders, the </w:t>
      </w:r>
      <w:r w:rsidRPr="009C2E20">
        <w:rPr>
          <w:rFonts w:ascii="Verdana" w:hAnsi="Verdana"/>
          <w:sz w:val="20"/>
          <w:szCs w:val="20"/>
        </w:rPr>
        <w:t>lack of profitability in the accommodation sector, the delay for important infrastructure to come online, and the need for effective systems to draw in the wider accommodation sector all drive our view that the A</w:t>
      </w:r>
      <w:r>
        <w:rPr>
          <w:rFonts w:ascii="Verdana" w:hAnsi="Verdana"/>
          <w:sz w:val="20"/>
          <w:szCs w:val="20"/>
        </w:rPr>
        <w:t>P</w:t>
      </w:r>
      <w:r w:rsidRPr="009C2E20">
        <w:rPr>
          <w:rFonts w:ascii="Verdana" w:hAnsi="Verdana"/>
          <w:sz w:val="20"/>
          <w:szCs w:val="20"/>
        </w:rPr>
        <w:t xml:space="preserve">TR </w:t>
      </w:r>
      <w:r>
        <w:rPr>
          <w:rFonts w:ascii="Verdana" w:hAnsi="Verdana"/>
          <w:sz w:val="20"/>
          <w:szCs w:val="20"/>
        </w:rPr>
        <w:t xml:space="preserve">should be permanently withdrawn. </w:t>
      </w:r>
    </w:p>
    <w:p w14:paraId="60E3E304" w14:textId="77777777" w:rsidR="00EA70B6" w:rsidRPr="007D253F" w:rsidRDefault="00EA70B6" w:rsidP="001A4097">
      <w:pPr>
        <w:ind w:left="360"/>
        <w:contextualSpacing/>
        <w:jc w:val="both"/>
        <w:rPr>
          <w:rFonts w:ascii="Verdana" w:hAnsi="Verdana"/>
          <w:sz w:val="20"/>
          <w:szCs w:val="20"/>
        </w:rPr>
      </w:pPr>
    </w:p>
    <w:p w14:paraId="2188EE6A" w14:textId="704ABAAF" w:rsidR="00EA70B6" w:rsidRDefault="00EA70B6" w:rsidP="001A4097">
      <w:pPr>
        <w:contextualSpacing/>
        <w:jc w:val="both"/>
        <w:rPr>
          <w:rFonts w:ascii="Verdana" w:hAnsi="Verdana"/>
          <w:b/>
          <w:bCs/>
          <w:sz w:val="20"/>
          <w:szCs w:val="20"/>
        </w:rPr>
      </w:pPr>
      <w:r w:rsidRPr="003D1EA0">
        <w:rPr>
          <w:rFonts w:ascii="Verdana" w:hAnsi="Verdana"/>
          <w:b/>
          <w:bCs/>
          <w:sz w:val="20"/>
          <w:szCs w:val="20"/>
        </w:rPr>
        <w:t xml:space="preserve">What </w:t>
      </w:r>
      <w:r w:rsidR="00C0653D">
        <w:rPr>
          <w:rFonts w:ascii="Verdana" w:hAnsi="Verdana"/>
          <w:b/>
          <w:bCs/>
          <w:sz w:val="20"/>
          <w:szCs w:val="20"/>
        </w:rPr>
        <w:t>does</w:t>
      </w:r>
      <w:r w:rsidRPr="003D1EA0">
        <w:rPr>
          <w:rFonts w:ascii="Verdana" w:hAnsi="Verdana"/>
          <w:b/>
          <w:bCs/>
          <w:sz w:val="20"/>
          <w:szCs w:val="20"/>
        </w:rPr>
        <w:t xml:space="preserve"> this mean for regional tourism funding?</w:t>
      </w:r>
    </w:p>
    <w:p w14:paraId="591C3BE0" w14:textId="2B31E335" w:rsidR="008D27CD" w:rsidRDefault="008D27CD" w:rsidP="001A4097">
      <w:pPr>
        <w:contextualSpacing/>
        <w:jc w:val="both"/>
        <w:rPr>
          <w:rFonts w:ascii="Verdana" w:hAnsi="Verdana"/>
          <w:b/>
          <w:bCs/>
          <w:sz w:val="20"/>
          <w:szCs w:val="20"/>
        </w:rPr>
      </w:pPr>
    </w:p>
    <w:p w14:paraId="33E63222" w14:textId="3950856D" w:rsidR="008D27CD" w:rsidRDefault="008D27CD" w:rsidP="001A4097">
      <w:pPr>
        <w:contextualSpacing/>
        <w:jc w:val="both"/>
        <w:rPr>
          <w:rFonts w:ascii="Verdana" w:hAnsi="Verdana"/>
          <w:i/>
          <w:iCs/>
          <w:sz w:val="20"/>
          <w:szCs w:val="20"/>
        </w:rPr>
      </w:pPr>
      <w:r w:rsidRPr="008D27CD">
        <w:rPr>
          <w:rFonts w:ascii="Verdana" w:hAnsi="Verdana"/>
          <w:i/>
          <w:iCs/>
          <w:sz w:val="20"/>
          <w:szCs w:val="20"/>
        </w:rPr>
        <w:t>The Short-term Re</w:t>
      </w:r>
      <w:r>
        <w:rPr>
          <w:rFonts w:ascii="Verdana" w:hAnsi="Verdana"/>
          <w:i/>
          <w:iCs/>
          <w:sz w:val="20"/>
          <w:szCs w:val="20"/>
        </w:rPr>
        <w:t>s</w:t>
      </w:r>
      <w:r w:rsidRPr="008D27CD">
        <w:rPr>
          <w:rFonts w:ascii="Verdana" w:hAnsi="Verdana"/>
          <w:i/>
          <w:iCs/>
          <w:sz w:val="20"/>
          <w:szCs w:val="20"/>
        </w:rPr>
        <w:t>ponse</w:t>
      </w:r>
    </w:p>
    <w:p w14:paraId="611B8322" w14:textId="77777777" w:rsidR="008D27CD" w:rsidRPr="008D27CD" w:rsidRDefault="008D27CD" w:rsidP="001A4097">
      <w:pPr>
        <w:contextualSpacing/>
        <w:jc w:val="both"/>
        <w:rPr>
          <w:rFonts w:ascii="Verdana" w:hAnsi="Verdana"/>
          <w:i/>
          <w:iCs/>
          <w:sz w:val="20"/>
          <w:szCs w:val="20"/>
        </w:rPr>
      </w:pPr>
    </w:p>
    <w:p w14:paraId="1D2F29CF" w14:textId="2BF3FF11" w:rsidR="00EA70B6" w:rsidRPr="009C2E20" w:rsidRDefault="00EA70B6" w:rsidP="001A4097">
      <w:pPr>
        <w:numPr>
          <w:ilvl w:val="0"/>
          <w:numId w:val="4"/>
        </w:numPr>
        <w:contextualSpacing/>
        <w:jc w:val="both"/>
        <w:rPr>
          <w:rFonts w:ascii="Verdana" w:hAnsi="Verdana"/>
          <w:sz w:val="20"/>
          <w:szCs w:val="20"/>
        </w:rPr>
      </w:pPr>
      <w:r w:rsidRPr="009C2E20">
        <w:rPr>
          <w:rFonts w:ascii="Verdana" w:hAnsi="Verdana"/>
          <w:sz w:val="20"/>
          <w:szCs w:val="20"/>
        </w:rPr>
        <w:t>We understand the impact of not reintroducing the APTR</w:t>
      </w:r>
      <w:r>
        <w:rPr>
          <w:rFonts w:ascii="Verdana" w:hAnsi="Verdana"/>
          <w:sz w:val="20"/>
          <w:szCs w:val="20"/>
        </w:rPr>
        <w:t xml:space="preserve">. </w:t>
      </w:r>
      <w:r w:rsidRPr="009C2E20">
        <w:rPr>
          <w:rFonts w:ascii="Verdana" w:hAnsi="Verdana"/>
          <w:sz w:val="20"/>
          <w:szCs w:val="20"/>
        </w:rPr>
        <w:t>It puts at risk $14.2m</w:t>
      </w:r>
      <w:r w:rsidR="00887FBD">
        <w:rPr>
          <w:rFonts w:ascii="Verdana" w:hAnsi="Verdana"/>
          <w:sz w:val="20"/>
          <w:szCs w:val="20"/>
        </w:rPr>
        <w:t>, approximately 5</w:t>
      </w:r>
      <w:r w:rsidRPr="009C2E20">
        <w:rPr>
          <w:rFonts w:ascii="Verdana" w:hAnsi="Verdana"/>
          <w:sz w:val="20"/>
          <w:szCs w:val="20"/>
        </w:rPr>
        <w:t xml:space="preserve">0% of </w:t>
      </w:r>
      <w:r w:rsidR="000672CD">
        <w:rPr>
          <w:rFonts w:ascii="Verdana" w:hAnsi="Verdana"/>
          <w:sz w:val="20"/>
          <w:szCs w:val="20"/>
        </w:rPr>
        <w:t xml:space="preserve">Auckland Unlimited’s </w:t>
      </w:r>
      <w:r w:rsidRPr="009C2E20">
        <w:rPr>
          <w:rFonts w:ascii="Verdana" w:hAnsi="Verdana"/>
          <w:sz w:val="20"/>
          <w:szCs w:val="20"/>
        </w:rPr>
        <w:t xml:space="preserve">spending on visitor attraction, major events and destination marketing.  </w:t>
      </w:r>
    </w:p>
    <w:p w14:paraId="5A6DD92C" w14:textId="77777777" w:rsidR="003D1EA0" w:rsidRDefault="003D1EA0" w:rsidP="001A4097">
      <w:pPr>
        <w:ind w:left="360"/>
        <w:contextualSpacing/>
        <w:jc w:val="both"/>
        <w:rPr>
          <w:rFonts w:ascii="Verdana" w:hAnsi="Verdana"/>
          <w:sz w:val="20"/>
          <w:szCs w:val="20"/>
        </w:rPr>
      </w:pPr>
    </w:p>
    <w:p w14:paraId="4A1AA238" w14:textId="2F20E541" w:rsidR="00EA70B6" w:rsidRPr="00744C70" w:rsidRDefault="00EA70B6" w:rsidP="001A4097">
      <w:pPr>
        <w:numPr>
          <w:ilvl w:val="0"/>
          <w:numId w:val="4"/>
        </w:numPr>
        <w:contextualSpacing/>
        <w:jc w:val="both"/>
        <w:rPr>
          <w:rFonts w:ascii="Verdana" w:hAnsi="Verdana"/>
          <w:sz w:val="20"/>
          <w:szCs w:val="20"/>
        </w:rPr>
      </w:pPr>
      <w:r>
        <w:rPr>
          <w:rFonts w:ascii="Verdana" w:hAnsi="Verdana"/>
          <w:sz w:val="20"/>
          <w:szCs w:val="20"/>
        </w:rPr>
        <w:t>We</w:t>
      </w:r>
      <w:r w:rsidRPr="009C2E20">
        <w:rPr>
          <w:rFonts w:ascii="Verdana" w:hAnsi="Verdana"/>
          <w:sz w:val="20"/>
          <w:szCs w:val="20"/>
        </w:rPr>
        <w:t xml:space="preserve"> propose</w:t>
      </w:r>
      <w:r>
        <w:rPr>
          <w:rFonts w:ascii="Verdana" w:hAnsi="Verdana"/>
          <w:sz w:val="20"/>
          <w:szCs w:val="20"/>
        </w:rPr>
        <w:t xml:space="preserve"> a short and medium term response to alleviate the risk of reduced capacity on Auckland Unlimited</w:t>
      </w:r>
      <w:r w:rsidR="00744C70">
        <w:rPr>
          <w:rFonts w:ascii="Verdana" w:hAnsi="Verdana"/>
          <w:sz w:val="20"/>
          <w:szCs w:val="20"/>
        </w:rPr>
        <w:t xml:space="preserve"> (AU). </w:t>
      </w:r>
      <w:r w:rsidRPr="00744C70">
        <w:rPr>
          <w:rFonts w:ascii="Verdana" w:hAnsi="Verdana"/>
          <w:sz w:val="20"/>
          <w:szCs w:val="20"/>
        </w:rPr>
        <w:t>In the short-term, we provide three options to consider:</w:t>
      </w:r>
    </w:p>
    <w:p w14:paraId="7E275BCB" w14:textId="77777777" w:rsidR="00744C70" w:rsidRDefault="00744C70" w:rsidP="001A4097">
      <w:pPr>
        <w:ind w:left="360"/>
        <w:contextualSpacing/>
        <w:jc w:val="both"/>
        <w:rPr>
          <w:rFonts w:ascii="Verdana" w:hAnsi="Verdana"/>
          <w:sz w:val="20"/>
          <w:szCs w:val="20"/>
        </w:rPr>
      </w:pPr>
    </w:p>
    <w:p w14:paraId="7ACE0838" w14:textId="75716301" w:rsidR="00EA70B6" w:rsidRDefault="00EA70B6" w:rsidP="00247930">
      <w:pPr>
        <w:numPr>
          <w:ilvl w:val="1"/>
          <w:numId w:val="4"/>
        </w:numPr>
        <w:contextualSpacing/>
        <w:jc w:val="both"/>
        <w:rPr>
          <w:rFonts w:ascii="Verdana" w:hAnsi="Verdana"/>
          <w:sz w:val="20"/>
          <w:szCs w:val="20"/>
        </w:rPr>
      </w:pPr>
      <w:r>
        <w:rPr>
          <w:rFonts w:ascii="Verdana" w:hAnsi="Verdana"/>
          <w:sz w:val="20"/>
          <w:szCs w:val="20"/>
        </w:rPr>
        <w:t>Some of the shortfall may be able to be picked up via the Regional Event Fund where Auckland/Northland have been allocated $19m over a 3-4 year period and according to MBIE can be used for e</w:t>
      </w:r>
      <w:r w:rsidRPr="00E16A74">
        <w:rPr>
          <w:rFonts w:ascii="Verdana" w:hAnsi="Verdana"/>
          <w:sz w:val="20"/>
          <w:szCs w:val="20"/>
        </w:rPr>
        <w:t>vent funding for new and existing events that drive inter and intra-regional visitation.</w:t>
      </w:r>
      <w:r>
        <w:rPr>
          <w:rFonts w:ascii="Verdana" w:hAnsi="Verdana"/>
          <w:sz w:val="20"/>
          <w:szCs w:val="20"/>
        </w:rPr>
        <w:t xml:space="preserve"> </w:t>
      </w:r>
    </w:p>
    <w:p w14:paraId="6AFA671D" w14:textId="77777777" w:rsidR="00744C70" w:rsidRDefault="00744C70" w:rsidP="001A4097">
      <w:pPr>
        <w:ind w:left="360"/>
        <w:contextualSpacing/>
        <w:jc w:val="both"/>
        <w:rPr>
          <w:rFonts w:ascii="Verdana" w:hAnsi="Verdana"/>
          <w:sz w:val="20"/>
          <w:szCs w:val="20"/>
        </w:rPr>
      </w:pPr>
    </w:p>
    <w:p w14:paraId="4D1E504B" w14:textId="1BA253D0" w:rsidR="00EA70B6" w:rsidRDefault="00EA70B6" w:rsidP="00247930">
      <w:pPr>
        <w:numPr>
          <w:ilvl w:val="1"/>
          <w:numId w:val="4"/>
        </w:numPr>
        <w:contextualSpacing/>
        <w:jc w:val="both"/>
        <w:rPr>
          <w:rFonts w:ascii="Verdana" w:hAnsi="Verdana"/>
          <w:sz w:val="20"/>
          <w:szCs w:val="20"/>
        </w:rPr>
      </w:pPr>
      <w:r>
        <w:rPr>
          <w:rFonts w:ascii="Verdana" w:hAnsi="Verdana"/>
          <w:sz w:val="20"/>
          <w:szCs w:val="20"/>
        </w:rPr>
        <w:t>There may also be the opportunity for Auckland Unlimited to work more closely with individual tourism operators, or groups of</w:t>
      </w:r>
      <w:r w:rsidR="000E04F1">
        <w:rPr>
          <w:rFonts w:ascii="Verdana" w:hAnsi="Verdana"/>
          <w:sz w:val="20"/>
          <w:szCs w:val="20"/>
        </w:rPr>
        <w:t xml:space="preserve"> operators</w:t>
      </w:r>
      <w:r>
        <w:rPr>
          <w:rFonts w:ascii="Verdana" w:hAnsi="Verdana"/>
          <w:sz w:val="20"/>
          <w:szCs w:val="20"/>
        </w:rPr>
        <w:t>, on more targeted investment opportunities and leverage private funding that may be available.</w:t>
      </w:r>
    </w:p>
    <w:p w14:paraId="39291B9D" w14:textId="77777777" w:rsidR="00744C70" w:rsidRDefault="00744C70" w:rsidP="001A4097">
      <w:pPr>
        <w:ind w:left="360"/>
        <w:contextualSpacing/>
        <w:jc w:val="both"/>
        <w:rPr>
          <w:rFonts w:ascii="Verdana" w:hAnsi="Verdana"/>
          <w:sz w:val="20"/>
          <w:szCs w:val="20"/>
        </w:rPr>
      </w:pPr>
    </w:p>
    <w:p w14:paraId="1EFB2224" w14:textId="051BAE1C" w:rsidR="00EA70B6" w:rsidRDefault="006F0D94" w:rsidP="00247930">
      <w:pPr>
        <w:numPr>
          <w:ilvl w:val="1"/>
          <w:numId w:val="4"/>
        </w:numPr>
        <w:contextualSpacing/>
        <w:jc w:val="both"/>
        <w:rPr>
          <w:rFonts w:ascii="Verdana" w:hAnsi="Verdana"/>
          <w:sz w:val="20"/>
          <w:szCs w:val="20"/>
        </w:rPr>
      </w:pPr>
      <w:r>
        <w:rPr>
          <w:rFonts w:ascii="Verdana" w:hAnsi="Verdana"/>
          <w:sz w:val="20"/>
          <w:szCs w:val="20"/>
        </w:rPr>
        <w:t xml:space="preserve">Thirdly, </w:t>
      </w:r>
      <w:r w:rsidR="00EA70B6" w:rsidRPr="5B8F635E">
        <w:rPr>
          <w:rFonts w:ascii="Verdana" w:hAnsi="Verdana"/>
          <w:sz w:val="20"/>
          <w:szCs w:val="20"/>
        </w:rPr>
        <w:t>opportunity exists in the merger of AU and RFA (Regional Facilities Auckland). RFA had six divisions – </w:t>
      </w:r>
      <w:hyperlink r:id="rId13">
        <w:r w:rsidR="00EA70B6" w:rsidRPr="5B8F635E">
          <w:rPr>
            <w:rFonts w:ascii="Verdana" w:hAnsi="Verdana"/>
            <w:sz w:val="20"/>
            <w:szCs w:val="20"/>
          </w:rPr>
          <w:t>Auckland Art Gallery</w:t>
        </w:r>
      </w:hyperlink>
      <w:r w:rsidR="00EA70B6" w:rsidRPr="5B8F635E">
        <w:rPr>
          <w:rFonts w:ascii="Verdana" w:hAnsi="Verdana"/>
          <w:sz w:val="20"/>
          <w:szCs w:val="20"/>
        </w:rPr>
        <w:t>, </w:t>
      </w:r>
      <w:hyperlink r:id="rId14">
        <w:r w:rsidR="00EA70B6" w:rsidRPr="5B8F635E">
          <w:rPr>
            <w:rFonts w:ascii="Verdana" w:hAnsi="Verdana"/>
            <w:sz w:val="20"/>
            <w:szCs w:val="20"/>
          </w:rPr>
          <w:t>Auckland Conventions</w:t>
        </w:r>
      </w:hyperlink>
      <w:r w:rsidR="00EA70B6" w:rsidRPr="5B8F635E">
        <w:rPr>
          <w:rFonts w:ascii="Verdana" w:hAnsi="Verdana"/>
          <w:sz w:val="20"/>
          <w:szCs w:val="20"/>
        </w:rPr>
        <w:t>, </w:t>
      </w:r>
      <w:hyperlink r:id="rId15">
        <w:r w:rsidR="00EA70B6" w:rsidRPr="5B8F635E">
          <w:rPr>
            <w:rFonts w:ascii="Verdana" w:hAnsi="Verdana"/>
            <w:sz w:val="20"/>
            <w:szCs w:val="20"/>
          </w:rPr>
          <w:t>Auckland Live</w:t>
        </w:r>
      </w:hyperlink>
      <w:r w:rsidR="00EA70B6" w:rsidRPr="5B8F635E">
        <w:rPr>
          <w:rFonts w:ascii="Verdana" w:hAnsi="Verdana"/>
          <w:sz w:val="20"/>
          <w:szCs w:val="20"/>
        </w:rPr>
        <w:t>, </w:t>
      </w:r>
      <w:hyperlink r:id="rId16">
        <w:r w:rsidR="00EA70B6" w:rsidRPr="5B8F635E">
          <w:rPr>
            <w:rFonts w:ascii="Verdana" w:hAnsi="Verdana"/>
            <w:sz w:val="20"/>
            <w:szCs w:val="20"/>
          </w:rPr>
          <w:t>Auckland Stadiums</w:t>
        </w:r>
      </w:hyperlink>
      <w:r w:rsidR="00EA70B6" w:rsidRPr="5B8F635E">
        <w:rPr>
          <w:rFonts w:ascii="Verdana" w:hAnsi="Verdana"/>
          <w:sz w:val="20"/>
          <w:szCs w:val="20"/>
        </w:rPr>
        <w:t>, </w:t>
      </w:r>
      <w:hyperlink r:id="rId17">
        <w:r w:rsidR="00EA70B6" w:rsidRPr="5B8F635E">
          <w:rPr>
            <w:rFonts w:ascii="Verdana" w:hAnsi="Verdana"/>
            <w:sz w:val="20"/>
            <w:szCs w:val="20"/>
          </w:rPr>
          <w:t>Auckland Zoo</w:t>
        </w:r>
      </w:hyperlink>
      <w:r w:rsidR="00EA70B6" w:rsidRPr="5B8F635E">
        <w:rPr>
          <w:rFonts w:ascii="Verdana" w:hAnsi="Verdana"/>
          <w:sz w:val="20"/>
          <w:szCs w:val="20"/>
        </w:rPr>
        <w:t> and the </w:t>
      </w:r>
      <w:hyperlink r:id="rId18">
        <w:r w:rsidR="00EA70B6" w:rsidRPr="5B8F635E">
          <w:rPr>
            <w:rFonts w:ascii="Verdana" w:hAnsi="Verdana"/>
            <w:sz w:val="20"/>
            <w:szCs w:val="20"/>
          </w:rPr>
          <w:t xml:space="preserve">New </w:t>
        </w:r>
        <w:r w:rsidR="00EA70B6" w:rsidRPr="5B8F635E">
          <w:rPr>
            <w:rFonts w:ascii="Verdana" w:hAnsi="Verdana"/>
            <w:sz w:val="20"/>
            <w:szCs w:val="20"/>
          </w:rPr>
          <w:lastRenderedPageBreak/>
          <w:t>Zealand Maritime Museum</w:t>
        </w:r>
      </w:hyperlink>
      <w:r w:rsidR="00EA70B6" w:rsidRPr="5B8F635E">
        <w:rPr>
          <w:rFonts w:ascii="Verdana" w:hAnsi="Verdana"/>
          <w:sz w:val="20"/>
          <w:szCs w:val="20"/>
        </w:rPr>
        <w:t xml:space="preserve"> – many with individual marketing budgets. The merger enables greater efficiencies in destination promotion and marketing. </w:t>
      </w:r>
    </w:p>
    <w:p w14:paraId="79368C10" w14:textId="77777777" w:rsidR="00D05A58" w:rsidRDefault="00D05A58" w:rsidP="00D05A58">
      <w:pPr>
        <w:jc w:val="both"/>
        <w:rPr>
          <w:rFonts w:ascii="Verdana" w:hAnsi="Verdana"/>
          <w:i/>
          <w:iCs/>
          <w:sz w:val="20"/>
          <w:szCs w:val="20"/>
        </w:rPr>
      </w:pPr>
    </w:p>
    <w:p w14:paraId="4B198529" w14:textId="0FEC599D" w:rsidR="008D27CD" w:rsidRPr="00D05A58" w:rsidRDefault="008D27CD" w:rsidP="00D05A58">
      <w:pPr>
        <w:jc w:val="both"/>
        <w:rPr>
          <w:rFonts w:ascii="Verdana" w:hAnsi="Verdana"/>
          <w:i/>
          <w:iCs/>
          <w:sz w:val="20"/>
          <w:szCs w:val="20"/>
        </w:rPr>
      </w:pPr>
      <w:r w:rsidRPr="00D05A58">
        <w:rPr>
          <w:rFonts w:ascii="Verdana" w:hAnsi="Verdana"/>
          <w:i/>
          <w:iCs/>
          <w:sz w:val="20"/>
          <w:szCs w:val="20"/>
        </w:rPr>
        <w:t>The Medium-term Response</w:t>
      </w:r>
    </w:p>
    <w:p w14:paraId="0D1381A7" w14:textId="3CA82C36" w:rsidR="00EA70B6" w:rsidRDefault="00021AB1" w:rsidP="001A4097">
      <w:pPr>
        <w:numPr>
          <w:ilvl w:val="0"/>
          <w:numId w:val="4"/>
        </w:numPr>
        <w:contextualSpacing/>
        <w:jc w:val="both"/>
        <w:rPr>
          <w:rFonts w:ascii="Verdana" w:hAnsi="Verdana"/>
          <w:sz w:val="20"/>
          <w:szCs w:val="20"/>
        </w:rPr>
      </w:pPr>
      <w:r w:rsidRPr="00204CCA">
        <w:rPr>
          <w:rFonts w:ascii="Verdana" w:hAnsi="Verdana"/>
          <w:sz w:val="20"/>
          <w:szCs w:val="20"/>
        </w:rPr>
        <w:t xml:space="preserve">The issue of regional tourism funding is not confined to Auckland. </w:t>
      </w:r>
      <w:r w:rsidR="00EA70B6" w:rsidRPr="00204CCA">
        <w:rPr>
          <w:rFonts w:ascii="Verdana" w:hAnsi="Verdana"/>
          <w:sz w:val="20"/>
          <w:szCs w:val="20"/>
        </w:rPr>
        <w:t xml:space="preserve">In our submission to the government-initiated Tourism Futures Taskforce we provided a paper on sustainable funding models for tourism. </w:t>
      </w:r>
      <w:r w:rsidR="00204CCA">
        <w:rPr>
          <w:rFonts w:ascii="Verdana" w:hAnsi="Verdana"/>
          <w:sz w:val="20"/>
          <w:szCs w:val="20"/>
        </w:rPr>
        <w:t>In the paper we outlined o</w:t>
      </w:r>
      <w:r w:rsidR="00EA70B6" w:rsidRPr="00204CCA">
        <w:rPr>
          <w:rFonts w:ascii="Verdana" w:hAnsi="Verdana"/>
          <w:sz w:val="20"/>
          <w:szCs w:val="20"/>
        </w:rPr>
        <w:t xml:space="preserve">ur </w:t>
      </w:r>
      <w:r w:rsidR="00204CCA">
        <w:rPr>
          <w:rFonts w:ascii="Verdana" w:hAnsi="Verdana"/>
          <w:sz w:val="20"/>
          <w:szCs w:val="20"/>
        </w:rPr>
        <w:t xml:space="preserve">proposal </w:t>
      </w:r>
      <w:r w:rsidR="00D57797">
        <w:rPr>
          <w:rFonts w:ascii="Verdana" w:hAnsi="Verdana"/>
          <w:sz w:val="20"/>
          <w:szCs w:val="20"/>
        </w:rPr>
        <w:t xml:space="preserve">for </w:t>
      </w:r>
      <w:r w:rsidR="00EA70B6" w:rsidRPr="00204CCA">
        <w:rPr>
          <w:rFonts w:ascii="Verdana" w:hAnsi="Verdana"/>
          <w:sz w:val="20"/>
          <w:szCs w:val="20"/>
        </w:rPr>
        <w:t xml:space="preserve">Central Government </w:t>
      </w:r>
      <w:r w:rsidR="00D57797">
        <w:rPr>
          <w:rFonts w:ascii="Verdana" w:hAnsi="Verdana"/>
          <w:sz w:val="20"/>
          <w:szCs w:val="20"/>
        </w:rPr>
        <w:t xml:space="preserve">to </w:t>
      </w:r>
      <w:r w:rsidR="00EA70B6" w:rsidRPr="00204CCA">
        <w:rPr>
          <w:rFonts w:ascii="Verdana" w:hAnsi="Verdana"/>
          <w:sz w:val="20"/>
          <w:szCs w:val="20"/>
        </w:rPr>
        <w:t>create a Regional Tourism Fund of $300m p.a. and distribute these funds to local government to address local tourism-related needs.</w:t>
      </w:r>
    </w:p>
    <w:p w14:paraId="713651B8" w14:textId="77777777" w:rsidR="00D57797" w:rsidRPr="00204CCA" w:rsidRDefault="00D57797" w:rsidP="001A4097">
      <w:pPr>
        <w:ind w:left="360"/>
        <w:contextualSpacing/>
        <w:jc w:val="both"/>
        <w:rPr>
          <w:rFonts w:ascii="Verdana" w:hAnsi="Verdana"/>
          <w:sz w:val="20"/>
          <w:szCs w:val="20"/>
        </w:rPr>
      </w:pPr>
    </w:p>
    <w:p w14:paraId="40618B4E" w14:textId="4BE9F422" w:rsidR="00EA70B6" w:rsidRDefault="00EA70B6" w:rsidP="001A4097">
      <w:pPr>
        <w:numPr>
          <w:ilvl w:val="0"/>
          <w:numId w:val="4"/>
        </w:numPr>
        <w:contextualSpacing/>
        <w:jc w:val="both"/>
        <w:rPr>
          <w:rFonts w:ascii="Verdana" w:hAnsi="Verdana"/>
          <w:sz w:val="20"/>
          <w:szCs w:val="20"/>
        </w:rPr>
      </w:pPr>
      <w:r w:rsidRPr="009C2E20">
        <w:rPr>
          <w:rFonts w:ascii="Verdana" w:hAnsi="Verdana"/>
          <w:sz w:val="20"/>
          <w:szCs w:val="20"/>
        </w:rPr>
        <w:t>Local authorities’ investment in tourism infrastructure would be informed by regional spatial plans (where they exist), local authority Long-term Plans, and RTO/EDA Destination Management Plans. If these Plans are doing their job well, they should clearly articulate the aspirations of tourism in the region and funding required. While infrastructure would be included as an area for investment of funds, we support a wider scope for fund allocation as determined by regional destination management priorities.</w:t>
      </w:r>
    </w:p>
    <w:p w14:paraId="7959097B" w14:textId="77777777" w:rsidR="00D57797" w:rsidRDefault="00D57797" w:rsidP="001A4097">
      <w:pPr>
        <w:ind w:left="360"/>
        <w:contextualSpacing/>
        <w:jc w:val="both"/>
        <w:rPr>
          <w:rFonts w:ascii="Verdana" w:hAnsi="Verdana"/>
          <w:sz w:val="20"/>
          <w:szCs w:val="20"/>
        </w:rPr>
      </w:pPr>
    </w:p>
    <w:p w14:paraId="792A0C8B" w14:textId="72B3AD88" w:rsidR="00EA70B6" w:rsidRPr="009C2E20" w:rsidRDefault="00EA70B6" w:rsidP="001A4097">
      <w:pPr>
        <w:numPr>
          <w:ilvl w:val="0"/>
          <w:numId w:val="4"/>
        </w:numPr>
        <w:contextualSpacing/>
        <w:jc w:val="both"/>
        <w:rPr>
          <w:rFonts w:ascii="Verdana" w:hAnsi="Verdana"/>
          <w:sz w:val="20"/>
          <w:szCs w:val="20"/>
        </w:rPr>
      </w:pPr>
      <w:r w:rsidRPr="5B8F635E">
        <w:rPr>
          <w:rFonts w:ascii="Verdana" w:hAnsi="Verdana"/>
          <w:sz w:val="20"/>
          <w:szCs w:val="20"/>
        </w:rPr>
        <w:t>The allocation model is determined by the measured level of visitor impact on each territorial authority. The premise behind this calculation is to create a transparent and sustainable model for annual funding rather than councils having to apply and hope. For example, it may be based on visitor nights in a region. Pre-COVID Auckland hosted up to 20% of total visitor nights in NZ.</w:t>
      </w:r>
    </w:p>
    <w:p w14:paraId="5AF92BEF" w14:textId="77777777" w:rsidR="00D57797" w:rsidRDefault="00D57797" w:rsidP="001A4097">
      <w:pPr>
        <w:ind w:left="360"/>
        <w:contextualSpacing/>
        <w:jc w:val="both"/>
        <w:rPr>
          <w:rFonts w:ascii="Verdana" w:hAnsi="Verdana"/>
          <w:sz w:val="20"/>
          <w:szCs w:val="20"/>
        </w:rPr>
      </w:pPr>
    </w:p>
    <w:p w14:paraId="5D302F33" w14:textId="0D3A6611" w:rsidR="00EA70B6" w:rsidRPr="009C2E20" w:rsidRDefault="00EA70B6" w:rsidP="001A4097">
      <w:pPr>
        <w:numPr>
          <w:ilvl w:val="0"/>
          <w:numId w:val="4"/>
        </w:numPr>
        <w:contextualSpacing/>
        <w:jc w:val="both"/>
        <w:rPr>
          <w:rFonts w:ascii="Verdana" w:hAnsi="Verdana"/>
          <w:sz w:val="20"/>
          <w:szCs w:val="20"/>
        </w:rPr>
      </w:pPr>
      <w:r w:rsidRPr="000F061D">
        <w:rPr>
          <w:rFonts w:ascii="Verdana" w:hAnsi="Verdana"/>
          <w:sz w:val="20"/>
          <w:szCs w:val="20"/>
        </w:rPr>
        <w:t xml:space="preserve">The proposal aligns with Infrastructure NZ’s proposal for a Regional Development Fund, expanding the </w:t>
      </w:r>
      <w:r>
        <w:rPr>
          <w:rFonts w:ascii="Verdana" w:hAnsi="Verdana"/>
          <w:sz w:val="20"/>
          <w:szCs w:val="20"/>
        </w:rPr>
        <w:t xml:space="preserve">former </w:t>
      </w:r>
      <w:r w:rsidRPr="000F061D">
        <w:rPr>
          <w:rFonts w:ascii="Verdana" w:hAnsi="Verdana"/>
          <w:sz w:val="20"/>
          <w:szCs w:val="20"/>
        </w:rPr>
        <w:t xml:space="preserve">$1 billion p.a. Provincial Growth Fund into a $2 billion Regional Development Fund (RDF) covering all of New Zealand. Our proposal of $300m is 15% of </w:t>
      </w:r>
      <w:r>
        <w:rPr>
          <w:rFonts w:ascii="Verdana" w:hAnsi="Verdana"/>
          <w:sz w:val="20"/>
          <w:szCs w:val="20"/>
        </w:rPr>
        <w:t xml:space="preserve">that </w:t>
      </w:r>
      <w:r w:rsidRPr="000F061D">
        <w:rPr>
          <w:rFonts w:ascii="Verdana" w:hAnsi="Verdana"/>
          <w:sz w:val="20"/>
          <w:szCs w:val="20"/>
        </w:rPr>
        <w:t>$2b</w:t>
      </w:r>
      <w:r w:rsidR="00A001B0">
        <w:rPr>
          <w:rFonts w:ascii="Verdana" w:hAnsi="Verdana"/>
          <w:sz w:val="20"/>
          <w:szCs w:val="20"/>
        </w:rPr>
        <w:t xml:space="preserve"> fund</w:t>
      </w:r>
      <w:r w:rsidRPr="000F061D">
        <w:rPr>
          <w:rFonts w:ascii="Verdana" w:hAnsi="Verdana"/>
          <w:sz w:val="20"/>
          <w:szCs w:val="20"/>
        </w:rPr>
        <w:t>.</w:t>
      </w:r>
      <w:r w:rsidRPr="009C2E20">
        <w:rPr>
          <w:rFonts w:ascii="Verdana" w:hAnsi="Verdana"/>
          <w:sz w:val="20"/>
          <w:szCs w:val="20"/>
        </w:rPr>
        <w:t xml:space="preserve"> </w:t>
      </w:r>
    </w:p>
    <w:p w14:paraId="7306F5BF" w14:textId="77777777" w:rsidR="00230788" w:rsidRDefault="00230788" w:rsidP="001A4097">
      <w:pPr>
        <w:ind w:left="360"/>
        <w:contextualSpacing/>
        <w:jc w:val="both"/>
        <w:rPr>
          <w:rFonts w:ascii="Verdana" w:hAnsi="Verdana"/>
          <w:sz w:val="20"/>
          <w:szCs w:val="20"/>
        </w:rPr>
      </w:pPr>
    </w:p>
    <w:p w14:paraId="1C8F975D" w14:textId="210C618C" w:rsidR="00EA70B6" w:rsidRPr="00107E52" w:rsidRDefault="00EA70B6" w:rsidP="001A4097">
      <w:pPr>
        <w:numPr>
          <w:ilvl w:val="0"/>
          <w:numId w:val="4"/>
        </w:numPr>
        <w:contextualSpacing/>
        <w:jc w:val="both"/>
        <w:rPr>
          <w:rFonts w:ascii="Verdana" w:hAnsi="Verdana"/>
          <w:sz w:val="20"/>
          <w:szCs w:val="20"/>
        </w:rPr>
      </w:pPr>
      <w:r w:rsidRPr="00107E52">
        <w:rPr>
          <w:rFonts w:ascii="Verdana" w:hAnsi="Verdana"/>
          <w:sz w:val="20"/>
          <w:szCs w:val="20"/>
        </w:rPr>
        <w:t xml:space="preserve">We would work with Auckland Council and other local authorities to seek the introduction of this fund as soon as possible. </w:t>
      </w:r>
    </w:p>
    <w:p w14:paraId="3F23FEF6" w14:textId="62F8F723" w:rsidR="00DE3DCB" w:rsidRDefault="00DE3DCB" w:rsidP="001A4097">
      <w:pPr>
        <w:pStyle w:val="NoSpacing"/>
        <w:jc w:val="both"/>
      </w:pPr>
    </w:p>
    <w:p w14:paraId="2B40AE7B" w14:textId="77777777" w:rsidR="00420F57" w:rsidRPr="00420F57" w:rsidRDefault="00420F57" w:rsidP="001A4097">
      <w:pPr>
        <w:spacing w:after="0" w:line="240" w:lineRule="auto"/>
        <w:jc w:val="both"/>
        <w:rPr>
          <w:rFonts w:ascii="Verdana" w:hAnsi="Verdana"/>
          <w:b/>
          <w:bCs/>
          <w:sz w:val="20"/>
          <w:szCs w:val="20"/>
          <w:u w:val="single"/>
        </w:rPr>
      </w:pPr>
      <w:r w:rsidRPr="00420F57">
        <w:rPr>
          <w:rFonts w:ascii="Verdana" w:hAnsi="Verdana"/>
          <w:b/>
          <w:bCs/>
          <w:sz w:val="20"/>
          <w:szCs w:val="20"/>
          <w:u w:val="single"/>
        </w:rPr>
        <w:t>CLOSING</w:t>
      </w:r>
    </w:p>
    <w:p w14:paraId="12C126D6" w14:textId="12CFDB8D" w:rsidR="002F166D" w:rsidRDefault="002F166D" w:rsidP="001A4097">
      <w:pPr>
        <w:spacing w:after="0" w:line="240" w:lineRule="auto"/>
        <w:jc w:val="both"/>
        <w:rPr>
          <w:rFonts w:ascii="Verdana" w:hAnsi="Verdana"/>
          <w:sz w:val="20"/>
          <w:szCs w:val="20"/>
        </w:rPr>
      </w:pPr>
    </w:p>
    <w:p w14:paraId="087CD519" w14:textId="510294D9" w:rsidR="00716EC8" w:rsidRDefault="003401A4" w:rsidP="00535F49">
      <w:pPr>
        <w:numPr>
          <w:ilvl w:val="0"/>
          <w:numId w:val="4"/>
        </w:numPr>
        <w:contextualSpacing/>
        <w:jc w:val="both"/>
        <w:rPr>
          <w:rFonts w:ascii="Verdana" w:hAnsi="Verdana"/>
          <w:sz w:val="20"/>
          <w:szCs w:val="20"/>
        </w:rPr>
      </w:pPr>
      <w:r w:rsidRPr="00565D61">
        <w:rPr>
          <w:rFonts w:ascii="Verdana" w:hAnsi="Verdana"/>
          <w:sz w:val="20"/>
          <w:szCs w:val="20"/>
        </w:rPr>
        <w:t xml:space="preserve">Tourism is a highly resilient industry. With targeted support, system fixes and a shared vision, the industry will once again make an essential contribution to New Zealand’s success. </w:t>
      </w:r>
    </w:p>
    <w:p w14:paraId="41F7E64A" w14:textId="77777777" w:rsidR="00854A43" w:rsidRDefault="00854A43" w:rsidP="00854A43">
      <w:pPr>
        <w:ind w:left="360"/>
        <w:contextualSpacing/>
        <w:jc w:val="both"/>
        <w:rPr>
          <w:rFonts w:ascii="Verdana" w:hAnsi="Verdana"/>
          <w:sz w:val="20"/>
          <w:szCs w:val="20"/>
        </w:rPr>
      </w:pPr>
    </w:p>
    <w:p w14:paraId="28E55CC6" w14:textId="790FD577" w:rsidR="003401A4" w:rsidRDefault="009F00FA" w:rsidP="00535F49">
      <w:pPr>
        <w:numPr>
          <w:ilvl w:val="0"/>
          <w:numId w:val="4"/>
        </w:numPr>
        <w:contextualSpacing/>
        <w:jc w:val="both"/>
        <w:rPr>
          <w:rFonts w:ascii="Verdana" w:hAnsi="Verdana"/>
          <w:sz w:val="20"/>
          <w:szCs w:val="20"/>
        </w:rPr>
      </w:pPr>
      <w:r>
        <w:rPr>
          <w:rFonts w:ascii="Verdana" w:hAnsi="Verdana"/>
          <w:sz w:val="20"/>
          <w:szCs w:val="20"/>
        </w:rPr>
        <w:t xml:space="preserve">We acknowledge the efforts being made to keep </w:t>
      </w:r>
      <w:r w:rsidR="00AA712C">
        <w:rPr>
          <w:rFonts w:ascii="Verdana" w:hAnsi="Verdana"/>
          <w:sz w:val="20"/>
          <w:szCs w:val="20"/>
        </w:rPr>
        <w:t>increases in the General Rate low. However</w:t>
      </w:r>
      <w:r w:rsidR="00124613">
        <w:rPr>
          <w:rFonts w:ascii="Verdana" w:hAnsi="Verdana"/>
          <w:sz w:val="20"/>
          <w:szCs w:val="20"/>
        </w:rPr>
        <w:t>,</w:t>
      </w:r>
      <w:r w:rsidR="00AA712C">
        <w:rPr>
          <w:rFonts w:ascii="Verdana" w:hAnsi="Verdana"/>
          <w:sz w:val="20"/>
          <w:szCs w:val="20"/>
        </w:rPr>
        <w:t xml:space="preserve"> this should not be at the expense of </w:t>
      </w:r>
      <w:r w:rsidR="004331BD">
        <w:rPr>
          <w:rFonts w:ascii="Verdana" w:hAnsi="Verdana"/>
          <w:sz w:val="20"/>
          <w:szCs w:val="20"/>
        </w:rPr>
        <w:t xml:space="preserve">the accommodation sector. </w:t>
      </w:r>
      <w:r w:rsidR="005D5C7F">
        <w:rPr>
          <w:rFonts w:ascii="Verdana" w:hAnsi="Verdana"/>
          <w:sz w:val="20"/>
          <w:szCs w:val="20"/>
        </w:rPr>
        <w:t>Now</w:t>
      </w:r>
      <w:r w:rsidR="002524A5">
        <w:rPr>
          <w:rFonts w:ascii="Verdana" w:hAnsi="Verdana"/>
          <w:sz w:val="20"/>
          <w:szCs w:val="20"/>
        </w:rPr>
        <w:t xml:space="preserve"> </w:t>
      </w:r>
      <w:r w:rsidR="005D5C7F">
        <w:rPr>
          <w:rFonts w:ascii="Verdana" w:hAnsi="Verdana"/>
          <w:sz w:val="20"/>
          <w:szCs w:val="20"/>
        </w:rPr>
        <w:t>or in the foreseeable future is not the time to be reinstating the APTR</w:t>
      </w:r>
      <w:r w:rsidR="002524A5">
        <w:rPr>
          <w:rFonts w:ascii="Verdana" w:hAnsi="Verdana"/>
          <w:sz w:val="20"/>
          <w:szCs w:val="20"/>
        </w:rPr>
        <w:t xml:space="preserve">. </w:t>
      </w:r>
      <w:r w:rsidR="003401A4" w:rsidRPr="00565D61">
        <w:rPr>
          <w:rFonts w:ascii="Verdana" w:hAnsi="Verdana"/>
          <w:sz w:val="20"/>
          <w:szCs w:val="20"/>
        </w:rPr>
        <w:t>Local government has a critical role to play in managing and enhancing local tourism experiences</w:t>
      </w:r>
      <w:r w:rsidR="004B74B2">
        <w:rPr>
          <w:rFonts w:ascii="Verdana" w:hAnsi="Verdana"/>
          <w:sz w:val="20"/>
          <w:szCs w:val="20"/>
        </w:rPr>
        <w:t xml:space="preserve">. Now is the time to focus </w:t>
      </w:r>
      <w:r w:rsidR="002524A5">
        <w:rPr>
          <w:rFonts w:ascii="Verdana" w:hAnsi="Verdana"/>
          <w:sz w:val="20"/>
          <w:szCs w:val="20"/>
        </w:rPr>
        <w:t>on keep</w:t>
      </w:r>
      <w:r w:rsidR="004B74B2">
        <w:rPr>
          <w:rFonts w:ascii="Verdana" w:hAnsi="Verdana"/>
          <w:sz w:val="20"/>
          <w:szCs w:val="20"/>
        </w:rPr>
        <w:t>ing</w:t>
      </w:r>
      <w:r w:rsidR="002524A5">
        <w:rPr>
          <w:rFonts w:ascii="Verdana" w:hAnsi="Verdana"/>
          <w:sz w:val="20"/>
          <w:szCs w:val="20"/>
        </w:rPr>
        <w:t xml:space="preserve"> costs down</w:t>
      </w:r>
      <w:r w:rsidR="004B74B2">
        <w:rPr>
          <w:rFonts w:ascii="Verdana" w:hAnsi="Verdana"/>
          <w:sz w:val="20"/>
          <w:szCs w:val="20"/>
        </w:rPr>
        <w:t xml:space="preserve"> for </w:t>
      </w:r>
      <w:r w:rsidR="00456B89">
        <w:rPr>
          <w:rFonts w:ascii="Verdana" w:hAnsi="Verdana"/>
          <w:sz w:val="20"/>
          <w:szCs w:val="20"/>
        </w:rPr>
        <w:t xml:space="preserve">all tourism </w:t>
      </w:r>
      <w:r w:rsidR="004B74B2">
        <w:rPr>
          <w:rFonts w:ascii="Verdana" w:hAnsi="Verdana"/>
          <w:sz w:val="20"/>
          <w:szCs w:val="20"/>
        </w:rPr>
        <w:t>businesses so the</w:t>
      </w:r>
      <w:r w:rsidR="00475BF1">
        <w:rPr>
          <w:rFonts w:ascii="Verdana" w:hAnsi="Verdana"/>
          <w:sz w:val="20"/>
          <w:szCs w:val="20"/>
        </w:rPr>
        <w:t xml:space="preserve">y can firstly survive and then move into </w:t>
      </w:r>
      <w:r w:rsidR="005F09B9">
        <w:rPr>
          <w:rFonts w:ascii="Verdana" w:hAnsi="Verdana"/>
          <w:sz w:val="20"/>
          <w:szCs w:val="20"/>
        </w:rPr>
        <w:t xml:space="preserve">a recovery phase which </w:t>
      </w:r>
      <w:r w:rsidR="00C10414">
        <w:rPr>
          <w:rFonts w:ascii="Verdana" w:hAnsi="Verdana"/>
          <w:sz w:val="20"/>
          <w:szCs w:val="20"/>
        </w:rPr>
        <w:t xml:space="preserve">will </w:t>
      </w:r>
      <w:r w:rsidR="00E13F7B">
        <w:rPr>
          <w:rFonts w:ascii="Verdana" w:hAnsi="Verdana"/>
          <w:sz w:val="20"/>
          <w:szCs w:val="20"/>
        </w:rPr>
        <w:t xml:space="preserve">take </w:t>
      </w:r>
      <w:r w:rsidR="005F09B9">
        <w:rPr>
          <w:rFonts w:ascii="Verdana" w:hAnsi="Verdana"/>
          <w:sz w:val="20"/>
          <w:szCs w:val="20"/>
        </w:rPr>
        <w:t>a number of year</w:t>
      </w:r>
      <w:r w:rsidR="00E13F7B">
        <w:rPr>
          <w:rFonts w:ascii="Verdana" w:hAnsi="Verdana"/>
          <w:sz w:val="20"/>
          <w:szCs w:val="20"/>
        </w:rPr>
        <w:t>s beyond that of this draft LTP</w:t>
      </w:r>
      <w:r w:rsidR="00B766CA">
        <w:rPr>
          <w:rFonts w:ascii="Verdana" w:hAnsi="Verdana"/>
          <w:sz w:val="20"/>
          <w:szCs w:val="20"/>
        </w:rPr>
        <w:t>.</w:t>
      </w:r>
    </w:p>
    <w:p w14:paraId="5CE6E904" w14:textId="77777777" w:rsidR="00565D61" w:rsidRPr="00565D61" w:rsidRDefault="00565D61" w:rsidP="00565D61">
      <w:pPr>
        <w:ind w:left="360"/>
        <w:contextualSpacing/>
        <w:jc w:val="both"/>
        <w:rPr>
          <w:rFonts w:ascii="Verdana" w:hAnsi="Verdana"/>
          <w:sz w:val="20"/>
          <w:szCs w:val="20"/>
        </w:rPr>
      </w:pPr>
    </w:p>
    <w:p w14:paraId="46D40778" w14:textId="7AF2AA6E" w:rsidR="00C36EB6" w:rsidRPr="00EA0376" w:rsidRDefault="00CA330F" w:rsidP="00535F49">
      <w:pPr>
        <w:numPr>
          <w:ilvl w:val="0"/>
          <w:numId w:val="4"/>
        </w:numPr>
        <w:spacing w:after="0" w:line="240" w:lineRule="auto"/>
        <w:contextualSpacing/>
        <w:jc w:val="both"/>
        <w:rPr>
          <w:rFonts w:ascii="Verdana" w:hAnsi="Verdana"/>
          <w:sz w:val="20"/>
          <w:szCs w:val="20"/>
        </w:rPr>
      </w:pPr>
      <w:r w:rsidRPr="00EA0376">
        <w:rPr>
          <w:rFonts w:ascii="Verdana" w:hAnsi="Verdana"/>
          <w:sz w:val="20"/>
          <w:szCs w:val="20"/>
        </w:rPr>
        <w:lastRenderedPageBreak/>
        <w:t xml:space="preserve">TIA wishes to have the opportunity to participate further in any follow-up process, including any formal meetings, to ensure that the potential impacts on tourism are adequately represented. </w:t>
      </w:r>
    </w:p>
    <w:p w14:paraId="7502515F" w14:textId="77777777" w:rsidR="001877E2" w:rsidRPr="00BE308E" w:rsidRDefault="001877E2" w:rsidP="001A4097">
      <w:pPr>
        <w:spacing w:after="0" w:line="240" w:lineRule="auto"/>
        <w:jc w:val="both"/>
      </w:pPr>
    </w:p>
    <w:sectPr w:rsidR="001877E2" w:rsidRPr="00BE308E" w:rsidSect="00691E74">
      <w:headerReference w:type="default" r:id="rId19"/>
      <w:footerReference w:type="default" r:id="rId20"/>
      <w:pgSz w:w="11900" w:h="16840"/>
      <w:pgMar w:top="2268"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50479" w14:textId="77777777" w:rsidR="006E0F68" w:rsidRDefault="006E0F68" w:rsidP="00EB36EE">
      <w:r>
        <w:separator/>
      </w:r>
    </w:p>
  </w:endnote>
  <w:endnote w:type="continuationSeparator" w:id="0">
    <w:p w14:paraId="7A2A3CAD" w14:textId="77777777" w:rsidR="006E0F68" w:rsidRDefault="006E0F68" w:rsidP="00EB36EE">
      <w:r>
        <w:continuationSeparator/>
      </w:r>
    </w:p>
  </w:endnote>
  <w:endnote w:type="continuationNotice" w:id="1">
    <w:p w14:paraId="1A3B177A" w14:textId="77777777" w:rsidR="006E0F68" w:rsidRDefault="006E0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useoSans-300">
    <w:altName w:val="Museo Sans 300"/>
    <w:charset w:val="00"/>
    <w:family w:val="auto"/>
    <w:pitch w:val="variable"/>
    <w:sig w:usb0="A00000AF" w:usb1="4000004A" w:usb2="00000000" w:usb3="00000000" w:csb0="00000093" w:csb1="00000000"/>
  </w:font>
  <w:font w:name="MuseoSans-900">
    <w:altName w:val="Museo Sans 500"/>
    <w:panose1 w:val="00000000000000000000"/>
    <w:charset w:val="4D"/>
    <w:family w:val="auto"/>
    <w:notTrueType/>
    <w:pitch w:val="default"/>
    <w:sig w:usb0="00000003" w:usb1="00000000" w:usb2="00000000" w:usb3="00000000" w:csb0="00000001" w:csb1="00000000"/>
  </w:font>
  <w:font w:name="MuseoSans-700">
    <w:altName w:val="Cambria"/>
    <w:charset w:val="00"/>
    <w:family w:val="auto"/>
    <w:pitch w:val="variable"/>
    <w:sig w:usb0="00000001" w:usb1="4000004A" w:usb2="00000000" w:usb3="00000000" w:csb0="00000093" w:csb1="00000000"/>
  </w:font>
  <w:font w:name="MuseoSans-100">
    <w:altName w:val="Museo Sans 100"/>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7441"/>
      <w:docPartObj>
        <w:docPartGallery w:val="Page Numbers (Bottom of Page)"/>
        <w:docPartUnique/>
      </w:docPartObj>
    </w:sdtPr>
    <w:sdtEndPr>
      <w:rPr>
        <w:noProof/>
      </w:rPr>
    </w:sdtEndPr>
    <w:sdtContent>
      <w:p w14:paraId="66FCD6E1" w14:textId="169F80B9" w:rsidR="00EA0221" w:rsidRDefault="00EA0221">
        <w:pPr>
          <w:pStyle w:val="Footer"/>
        </w:pPr>
        <w:r>
          <w:fldChar w:fldCharType="begin"/>
        </w:r>
        <w:r>
          <w:instrText xml:space="preserve"> PAGE   \* MERGEFORMAT </w:instrText>
        </w:r>
        <w:r>
          <w:fldChar w:fldCharType="separate"/>
        </w:r>
        <w:r>
          <w:rPr>
            <w:noProof/>
          </w:rPr>
          <w:t>2</w:t>
        </w:r>
        <w:r>
          <w:rPr>
            <w:noProof/>
          </w:rPr>
          <w:fldChar w:fldCharType="end"/>
        </w:r>
      </w:p>
    </w:sdtContent>
  </w:sdt>
  <w:p w14:paraId="7472BA11" w14:textId="77777777" w:rsidR="00691E74" w:rsidRDefault="00691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5EC4C" w14:textId="77777777" w:rsidR="006E0F68" w:rsidRDefault="006E0F68" w:rsidP="00EB36EE">
      <w:r>
        <w:separator/>
      </w:r>
    </w:p>
  </w:footnote>
  <w:footnote w:type="continuationSeparator" w:id="0">
    <w:p w14:paraId="5E3CF46D" w14:textId="77777777" w:rsidR="006E0F68" w:rsidRDefault="006E0F68" w:rsidP="00EB36EE">
      <w:r>
        <w:continuationSeparator/>
      </w:r>
    </w:p>
  </w:footnote>
  <w:footnote w:type="continuationNotice" w:id="1">
    <w:p w14:paraId="533B66A9" w14:textId="77777777" w:rsidR="006E0F68" w:rsidRDefault="006E0F68">
      <w:pPr>
        <w:spacing w:after="0" w:line="240" w:lineRule="auto"/>
      </w:pPr>
    </w:p>
  </w:footnote>
  <w:footnote w:id="2">
    <w:p w14:paraId="21CF89A7" w14:textId="409C00E2" w:rsidR="00D5066E" w:rsidRPr="00D5066E" w:rsidRDefault="00D5066E">
      <w:pPr>
        <w:pStyle w:val="FootnoteText"/>
        <w:rPr>
          <w:rFonts w:ascii="Verdana" w:hAnsi="Verdana"/>
          <w:sz w:val="16"/>
          <w:szCs w:val="16"/>
        </w:rPr>
      </w:pPr>
      <w:r>
        <w:rPr>
          <w:rStyle w:val="FootnoteReference"/>
        </w:rPr>
        <w:footnoteRef/>
      </w:r>
      <w:r>
        <w:t xml:space="preserve"> </w:t>
      </w:r>
      <w:r w:rsidRPr="00D5066E">
        <w:rPr>
          <w:rFonts w:ascii="Verdana" w:hAnsi="Verdana"/>
          <w:sz w:val="16"/>
          <w:szCs w:val="16"/>
        </w:rPr>
        <w:t xml:space="preserve">Revenue per available room - </w:t>
      </w:r>
      <w:r w:rsidRPr="00D5066E">
        <w:rPr>
          <w:rFonts w:ascii="Verdana" w:hAnsi="Verdana" w:cs="Arial"/>
          <w:color w:val="202124"/>
          <w:sz w:val="16"/>
          <w:szCs w:val="16"/>
          <w:shd w:val="clear" w:color="auto" w:fill="FFFFFF"/>
        </w:rPr>
        <w:t xml:space="preserve">calculated by dividing total room revenue by the total number of rooms available in the period being </w:t>
      </w:r>
      <w:r w:rsidR="00AE60A1" w:rsidRPr="00D5066E">
        <w:rPr>
          <w:rFonts w:ascii="Verdana" w:hAnsi="Verdana" w:cs="Arial"/>
          <w:color w:val="202124"/>
          <w:sz w:val="16"/>
          <w:szCs w:val="16"/>
          <w:shd w:val="clear" w:color="auto" w:fill="FFFFFF"/>
        </w:rPr>
        <w:t>measured.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E9FAA" w14:textId="2770533E" w:rsidR="00EE3926" w:rsidRPr="0000214D" w:rsidRDefault="00B349E0" w:rsidP="00B349E0">
    <w:pPr>
      <w:pStyle w:val="Header"/>
      <w:tabs>
        <w:tab w:val="clear" w:pos="8640"/>
        <w:tab w:val="left" w:pos="7891"/>
        <w:tab w:val="right" w:pos="9639"/>
      </w:tabs>
      <w:ind w:left="-567" w:right="-575"/>
      <w:rPr>
        <w:rFonts w:ascii="Verdana" w:hAnsi="Verdana"/>
        <w:b/>
        <w:sz w:val="16"/>
        <w:szCs w:val="16"/>
      </w:rPr>
    </w:pPr>
    <w:r>
      <w:tab/>
    </w:r>
    <w:r>
      <w:tab/>
    </w:r>
    <w:r w:rsidR="00EE3926">
      <w:rPr>
        <w:noProof/>
        <w:color w:val="2B579A"/>
        <w:shd w:val="clear" w:color="auto" w:fill="E6E6E6"/>
        <w:lang w:eastAsia="en-NZ"/>
      </w:rPr>
      <w:drawing>
        <wp:anchor distT="0" distB="0" distL="114300" distR="114300" simplePos="0" relativeHeight="251657216" behindDoc="1" locked="0" layoutInCell="1" allowOverlap="1" wp14:anchorId="4A886051" wp14:editId="14DAC61B">
          <wp:simplePos x="0" y="0"/>
          <wp:positionH relativeFrom="page">
            <wp:align>center</wp:align>
          </wp:positionH>
          <wp:positionV relativeFrom="page">
            <wp:align>center</wp:align>
          </wp:positionV>
          <wp:extent cx="7556500" cy="10693400"/>
          <wp:effectExtent l="0" t="0" r="1270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Release Red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BB805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2391F"/>
    <w:multiLevelType w:val="hybridMultilevel"/>
    <w:tmpl w:val="1424F6B0"/>
    <w:lvl w:ilvl="0" w:tplc="CB0AD604">
      <w:start w:val="18"/>
      <w:numFmt w:val="decimal"/>
      <w:lvlText w:val="%1."/>
      <w:lvlJc w:val="left"/>
      <w:pPr>
        <w:ind w:left="36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06F751EF"/>
    <w:multiLevelType w:val="hybridMultilevel"/>
    <w:tmpl w:val="E8D26C3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07050669"/>
    <w:multiLevelType w:val="hybridMultilevel"/>
    <w:tmpl w:val="2340AD84"/>
    <w:lvl w:ilvl="0" w:tplc="D6CE26D0">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90E1C50"/>
    <w:multiLevelType w:val="hybridMultilevel"/>
    <w:tmpl w:val="ADA410A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097F7923"/>
    <w:multiLevelType w:val="hybridMultilevel"/>
    <w:tmpl w:val="18B8BA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0C2F0DA1"/>
    <w:multiLevelType w:val="hybridMultilevel"/>
    <w:tmpl w:val="FA66A11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0CEA24A5"/>
    <w:multiLevelType w:val="hybridMultilevel"/>
    <w:tmpl w:val="E9FC24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7874D4"/>
    <w:multiLevelType w:val="hybridMultilevel"/>
    <w:tmpl w:val="5A18BB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E8B108F"/>
    <w:multiLevelType w:val="hybridMultilevel"/>
    <w:tmpl w:val="E2521BEC"/>
    <w:lvl w:ilvl="0" w:tplc="D6CE26D0">
      <w:start w:val="1"/>
      <w:numFmt w:val="decimal"/>
      <w:lvlText w:val="%1."/>
      <w:lvlJc w:val="left"/>
      <w:pPr>
        <w:ind w:left="72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14AA6A05"/>
    <w:multiLevelType w:val="hybridMultilevel"/>
    <w:tmpl w:val="FB2C85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E3B02C8"/>
    <w:multiLevelType w:val="hybridMultilevel"/>
    <w:tmpl w:val="E3EC5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6A67AD"/>
    <w:multiLevelType w:val="hybridMultilevel"/>
    <w:tmpl w:val="4984CFF4"/>
    <w:lvl w:ilvl="0" w:tplc="EB164A1A">
      <w:numFmt w:val="bullet"/>
      <w:lvlText w:val="•"/>
      <w:lvlJc w:val="left"/>
      <w:pPr>
        <w:ind w:left="36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03674F0"/>
    <w:multiLevelType w:val="hybridMultilevel"/>
    <w:tmpl w:val="BF141C8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21073293"/>
    <w:multiLevelType w:val="hybridMultilevel"/>
    <w:tmpl w:val="B812FF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2EB4BA2"/>
    <w:multiLevelType w:val="hybridMultilevel"/>
    <w:tmpl w:val="92AAF0CE"/>
    <w:lvl w:ilvl="0" w:tplc="D6CE26D0">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40D074C"/>
    <w:multiLevelType w:val="hybridMultilevel"/>
    <w:tmpl w:val="54BACC18"/>
    <w:lvl w:ilvl="0" w:tplc="D6CE26D0">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6285358"/>
    <w:multiLevelType w:val="hybridMultilevel"/>
    <w:tmpl w:val="2390C7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945EA5"/>
    <w:multiLevelType w:val="hybridMultilevel"/>
    <w:tmpl w:val="0BA2B0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9BD475E"/>
    <w:multiLevelType w:val="hybridMultilevel"/>
    <w:tmpl w:val="1CECFD88"/>
    <w:lvl w:ilvl="0" w:tplc="EB164A1A">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265EF7"/>
    <w:multiLevelType w:val="hybridMultilevel"/>
    <w:tmpl w:val="088C401C"/>
    <w:lvl w:ilvl="0" w:tplc="D6CE26D0">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B9A3348"/>
    <w:multiLevelType w:val="hybridMultilevel"/>
    <w:tmpl w:val="B9D22B90"/>
    <w:lvl w:ilvl="0" w:tplc="C388CAD4">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F0A2ADF"/>
    <w:multiLevelType w:val="hybridMultilevel"/>
    <w:tmpl w:val="BE7C1388"/>
    <w:lvl w:ilvl="0" w:tplc="EB164A1A">
      <w:numFmt w:val="bullet"/>
      <w:lvlText w:val="•"/>
      <w:lvlJc w:val="left"/>
      <w:pPr>
        <w:ind w:left="720" w:hanging="360"/>
      </w:pPr>
      <w:rPr>
        <w:rFonts w:ascii="Verdana" w:eastAsiaTheme="minorHAnsi" w:hAnsi="Verdana" w:cstheme="minorBidi"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4B013C31"/>
    <w:multiLevelType w:val="hybridMultilevel"/>
    <w:tmpl w:val="BDC6FF42"/>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4E1F4594"/>
    <w:multiLevelType w:val="hybridMultilevel"/>
    <w:tmpl w:val="1BB671E4"/>
    <w:lvl w:ilvl="0" w:tplc="783E809A">
      <w:start w:val="18"/>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50E22640"/>
    <w:multiLevelType w:val="hybridMultilevel"/>
    <w:tmpl w:val="3768FB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51BF5A73"/>
    <w:multiLevelType w:val="hybridMultilevel"/>
    <w:tmpl w:val="81A89BD8"/>
    <w:lvl w:ilvl="0" w:tplc="EB164A1A">
      <w:numFmt w:val="bullet"/>
      <w:lvlText w:val="•"/>
      <w:lvlJc w:val="left"/>
      <w:pPr>
        <w:ind w:left="36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6B8201E"/>
    <w:multiLevelType w:val="hybridMultilevel"/>
    <w:tmpl w:val="AEB8520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5AF954B5"/>
    <w:multiLevelType w:val="hybridMultilevel"/>
    <w:tmpl w:val="D07E0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7EAB55"/>
    <w:multiLevelType w:val="hybridMultilevel"/>
    <w:tmpl w:val="B22BE4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9234C3"/>
    <w:multiLevelType w:val="hybridMultilevel"/>
    <w:tmpl w:val="94340828"/>
    <w:lvl w:ilvl="0" w:tplc="EB164A1A">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5D740477"/>
    <w:multiLevelType w:val="hybridMultilevel"/>
    <w:tmpl w:val="D0AE4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E5658D2"/>
    <w:multiLevelType w:val="hybridMultilevel"/>
    <w:tmpl w:val="51B60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0B411C8"/>
    <w:multiLevelType w:val="hybridMultilevel"/>
    <w:tmpl w:val="264EECB0"/>
    <w:lvl w:ilvl="0" w:tplc="D6CE26D0">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DBE806CA">
      <w:numFmt w:val="bullet"/>
      <w:lvlText w:val="•"/>
      <w:lvlJc w:val="left"/>
      <w:pPr>
        <w:ind w:left="2340" w:hanging="720"/>
      </w:pPr>
      <w:rPr>
        <w:rFonts w:ascii="Verdana" w:eastAsiaTheme="minorHAnsi" w:hAnsi="Verdana" w:cstheme="minorBidi"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625C3A9B"/>
    <w:multiLevelType w:val="hybridMultilevel"/>
    <w:tmpl w:val="FB76915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65943A3B"/>
    <w:multiLevelType w:val="hybridMultilevel"/>
    <w:tmpl w:val="678CF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0264AF"/>
    <w:multiLevelType w:val="hybridMultilevel"/>
    <w:tmpl w:val="D63EA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8914B0B"/>
    <w:multiLevelType w:val="hybridMultilevel"/>
    <w:tmpl w:val="5E9044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99A1092"/>
    <w:multiLevelType w:val="hybridMultilevel"/>
    <w:tmpl w:val="B35076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B061A8E"/>
    <w:multiLevelType w:val="hybridMultilevel"/>
    <w:tmpl w:val="FCB08D7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C2518FD"/>
    <w:multiLevelType w:val="hybridMultilevel"/>
    <w:tmpl w:val="919CA15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DE77C99"/>
    <w:multiLevelType w:val="hybridMultilevel"/>
    <w:tmpl w:val="851620A0"/>
    <w:lvl w:ilvl="0" w:tplc="EB164A1A">
      <w:numFmt w:val="bullet"/>
      <w:lvlText w:val="•"/>
      <w:lvlJc w:val="left"/>
      <w:pPr>
        <w:ind w:left="360" w:hanging="360"/>
      </w:pPr>
      <w:rPr>
        <w:rFonts w:ascii="Verdana" w:eastAsiaTheme="minorHAnsi" w:hAnsi="Verdana" w:cstheme="minorBidi" w:hint="default"/>
      </w:rPr>
    </w:lvl>
    <w:lvl w:ilvl="1" w:tplc="14090001">
      <w:start w:val="1"/>
      <w:numFmt w:val="bullet"/>
      <w:lvlText w:val=""/>
      <w:lvlJc w:val="left"/>
      <w:pPr>
        <w:ind w:left="1080" w:hanging="360"/>
      </w:pPr>
      <w:rPr>
        <w:rFonts w:ascii="Symbol" w:hAnsi="Symbol" w:hint="default"/>
      </w:rPr>
    </w:lvl>
    <w:lvl w:ilvl="2" w:tplc="DBE806CA">
      <w:numFmt w:val="bullet"/>
      <w:lvlText w:val="•"/>
      <w:lvlJc w:val="left"/>
      <w:pPr>
        <w:ind w:left="2340" w:hanging="720"/>
      </w:pPr>
      <w:rPr>
        <w:rFonts w:ascii="Verdana" w:eastAsiaTheme="minorHAnsi" w:hAnsi="Verdana" w:cstheme="minorBidi"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6F667EAA"/>
    <w:multiLevelType w:val="hybridMultilevel"/>
    <w:tmpl w:val="1D908E3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3" w15:restartNumberingAfterBreak="0">
    <w:nsid w:val="74D56A7B"/>
    <w:multiLevelType w:val="hybridMultilevel"/>
    <w:tmpl w:val="636CA2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B0C53A4"/>
    <w:multiLevelType w:val="hybridMultilevel"/>
    <w:tmpl w:val="B61039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18"/>
  </w:num>
  <w:num w:numId="4">
    <w:abstractNumId w:val="33"/>
  </w:num>
  <w:num w:numId="5">
    <w:abstractNumId w:val="14"/>
  </w:num>
  <w:num w:numId="6">
    <w:abstractNumId w:val="17"/>
  </w:num>
  <w:num w:numId="7">
    <w:abstractNumId w:val="42"/>
  </w:num>
  <w:num w:numId="8">
    <w:abstractNumId w:val="39"/>
  </w:num>
  <w:num w:numId="9">
    <w:abstractNumId w:val="10"/>
  </w:num>
  <w:num w:numId="10">
    <w:abstractNumId w:val="21"/>
  </w:num>
  <w:num w:numId="11">
    <w:abstractNumId w:val="7"/>
  </w:num>
  <w:num w:numId="12">
    <w:abstractNumId w:val="40"/>
  </w:num>
  <w:num w:numId="13">
    <w:abstractNumId w:val="25"/>
  </w:num>
  <w:num w:numId="14">
    <w:abstractNumId w:val="23"/>
  </w:num>
  <w:num w:numId="15">
    <w:abstractNumId w:val="38"/>
  </w:num>
  <w:num w:numId="16">
    <w:abstractNumId w:val="37"/>
  </w:num>
  <w:num w:numId="17">
    <w:abstractNumId w:val="19"/>
  </w:num>
  <w:num w:numId="18">
    <w:abstractNumId w:val="26"/>
  </w:num>
  <w:num w:numId="19">
    <w:abstractNumId w:val="30"/>
  </w:num>
  <w:num w:numId="20">
    <w:abstractNumId w:val="22"/>
  </w:num>
  <w:num w:numId="21">
    <w:abstractNumId w:val="12"/>
  </w:num>
  <w:num w:numId="22">
    <w:abstractNumId w:val="41"/>
  </w:num>
  <w:num w:numId="23">
    <w:abstractNumId w:val="43"/>
  </w:num>
  <w:num w:numId="24">
    <w:abstractNumId w:val="4"/>
  </w:num>
  <w:num w:numId="25">
    <w:abstractNumId w:val="5"/>
  </w:num>
  <w:num w:numId="26">
    <w:abstractNumId w:val="6"/>
  </w:num>
  <w:num w:numId="27">
    <w:abstractNumId w:val="34"/>
  </w:num>
  <w:num w:numId="28">
    <w:abstractNumId w:val="11"/>
  </w:num>
  <w:num w:numId="29">
    <w:abstractNumId w:val="44"/>
  </w:num>
  <w:num w:numId="30">
    <w:abstractNumId w:val="32"/>
  </w:num>
  <w:num w:numId="31">
    <w:abstractNumId w:val="13"/>
  </w:num>
  <w:num w:numId="32">
    <w:abstractNumId w:val="27"/>
  </w:num>
  <w:num w:numId="33">
    <w:abstractNumId w:val="3"/>
  </w:num>
  <w:num w:numId="34">
    <w:abstractNumId w:val="20"/>
  </w:num>
  <w:num w:numId="35">
    <w:abstractNumId w:val="9"/>
  </w:num>
  <w:num w:numId="36">
    <w:abstractNumId w:val="15"/>
  </w:num>
  <w:num w:numId="37">
    <w:abstractNumId w:val="16"/>
  </w:num>
  <w:num w:numId="38">
    <w:abstractNumId w:val="28"/>
  </w:num>
  <w:num w:numId="39">
    <w:abstractNumId w:val="24"/>
  </w:num>
  <w:num w:numId="40">
    <w:abstractNumId w:val="8"/>
  </w:num>
  <w:num w:numId="41">
    <w:abstractNumId w:val="36"/>
  </w:num>
  <w:num w:numId="42">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
  </w:num>
  <w:num w:numId="45">
    <w:abstractNumId w:val="3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55"/>
    <w:rsid w:val="0000214D"/>
    <w:rsid w:val="000023BA"/>
    <w:rsid w:val="00004197"/>
    <w:rsid w:val="00006F20"/>
    <w:rsid w:val="000125F2"/>
    <w:rsid w:val="00020A28"/>
    <w:rsid w:val="00021AB1"/>
    <w:rsid w:val="0002218C"/>
    <w:rsid w:val="0003135D"/>
    <w:rsid w:val="00054177"/>
    <w:rsid w:val="000661C2"/>
    <w:rsid w:val="000672CD"/>
    <w:rsid w:val="000755BA"/>
    <w:rsid w:val="00095697"/>
    <w:rsid w:val="000C733E"/>
    <w:rsid w:val="000E04F1"/>
    <w:rsid w:val="000F20D5"/>
    <w:rsid w:val="00106A0C"/>
    <w:rsid w:val="00110B54"/>
    <w:rsid w:val="00124613"/>
    <w:rsid w:val="00126C79"/>
    <w:rsid w:val="00131C84"/>
    <w:rsid w:val="00132970"/>
    <w:rsid w:val="001375E6"/>
    <w:rsid w:val="00140198"/>
    <w:rsid w:val="00145AA1"/>
    <w:rsid w:val="0015237B"/>
    <w:rsid w:val="001538AB"/>
    <w:rsid w:val="00170F25"/>
    <w:rsid w:val="001756A7"/>
    <w:rsid w:val="00176949"/>
    <w:rsid w:val="0017751B"/>
    <w:rsid w:val="001877E2"/>
    <w:rsid w:val="00187EBF"/>
    <w:rsid w:val="001934D7"/>
    <w:rsid w:val="00193E2A"/>
    <w:rsid w:val="00196211"/>
    <w:rsid w:val="001A0026"/>
    <w:rsid w:val="001A4097"/>
    <w:rsid w:val="001B10FC"/>
    <w:rsid w:val="001B25ED"/>
    <w:rsid w:val="001B5056"/>
    <w:rsid w:val="001C236E"/>
    <w:rsid w:val="001C6A02"/>
    <w:rsid w:val="001C75CC"/>
    <w:rsid w:val="001F114C"/>
    <w:rsid w:val="001F1D2F"/>
    <w:rsid w:val="00200738"/>
    <w:rsid w:val="002009C6"/>
    <w:rsid w:val="00204CCA"/>
    <w:rsid w:val="0022149B"/>
    <w:rsid w:val="002257B7"/>
    <w:rsid w:val="00230788"/>
    <w:rsid w:val="00240A31"/>
    <w:rsid w:val="00247930"/>
    <w:rsid w:val="0025034A"/>
    <w:rsid w:val="002524A5"/>
    <w:rsid w:val="002545EC"/>
    <w:rsid w:val="00275D4D"/>
    <w:rsid w:val="002769CB"/>
    <w:rsid w:val="00292E0E"/>
    <w:rsid w:val="0029685E"/>
    <w:rsid w:val="00296E64"/>
    <w:rsid w:val="002A426C"/>
    <w:rsid w:val="002A6756"/>
    <w:rsid w:val="002A6C01"/>
    <w:rsid w:val="002B2D01"/>
    <w:rsid w:val="002B70B1"/>
    <w:rsid w:val="002B7954"/>
    <w:rsid w:val="002C0B9B"/>
    <w:rsid w:val="002C105C"/>
    <w:rsid w:val="002D143A"/>
    <w:rsid w:val="002D5D07"/>
    <w:rsid w:val="002D7893"/>
    <w:rsid w:val="002E12C6"/>
    <w:rsid w:val="002F166D"/>
    <w:rsid w:val="002F1C29"/>
    <w:rsid w:val="002F4935"/>
    <w:rsid w:val="00304480"/>
    <w:rsid w:val="003155CE"/>
    <w:rsid w:val="00326AE5"/>
    <w:rsid w:val="003401A4"/>
    <w:rsid w:val="00342BAB"/>
    <w:rsid w:val="003447CC"/>
    <w:rsid w:val="00366C98"/>
    <w:rsid w:val="0038563B"/>
    <w:rsid w:val="00392625"/>
    <w:rsid w:val="00394E69"/>
    <w:rsid w:val="003A7C79"/>
    <w:rsid w:val="003B146F"/>
    <w:rsid w:val="003B3AB2"/>
    <w:rsid w:val="003C17EA"/>
    <w:rsid w:val="003C19E9"/>
    <w:rsid w:val="003C1D05"/>
    <w:rsid w:val="003C3FAC"/>
    <w:rsid w:val="003D1EA0"/>
    <w:rsid w:val="003D200B"/>
    <w:rsid w:val="003D598D"/>
    <w:rsid w:val="003E305E"/>
    <w:rsid w:val="003F5B7C"/>
    <w:rsid w:val="00403A82"/>
    <w:rsid w:val="00412AAB"/>
    <w:rsid w:val="004135CA"/>
    <w:rsid w:val="00420F57"/>
    <w:rsid w:val="004331BD"/>
    <w:rsid w:val="00435089"/>
    <w:rsid w:val="00453935"/>
    <w:rsid w:val="00456B89"/>
    <w:rsid w:val="00475BF1"/>
    <w:rsid w:val="00480803"/>
    <w:rsid w:val="00481A5C"/>
    <w:rsid w:val="00481D9F"/>
    <w:rsid w:val="00487D2B"/>
    <w:rsid w:val="0049024D"/>
    <w:rsid w:val="00494582"/>
    <w:rsid w:val="00495C86"/>
    <w:rsid w:val="00497407"/>
    <w:rsid w:val="004A0BEE"/>
    <w:rsid w:val="004A7BBA"/>
    <w:rsid w:val="004B056D"/>
    <w:rsid w:val="004B58EF"/>
    <w:rsid w:val="004B74B2"/>
    <w:rsid w:val="004D2824"/>
    <w:rsid w:val="004D658B"/>
    <w:rsid w:val="004D7D2F"/>
    <w:rsid w:val="005018B6"/>
    <w:rsid w:val="00511DC1"/>
    <w:rsid w:val="00515240"/>
    <w:rsid w:val="005265B7"/>
    <w:rsid w:val="00526B1F"/>
    <w:rsid w:val="00535F49"/>
    <w:rsid w:val="0055514D"/>
    <w:rsid w:val="00561757"/>
    <w:rsid w:val="0056409B"/>
    <w:rsid w:val="00564933"/>
    <w:rsid w:val="00565D61"/>
    <w:rsid w:val="00565EA5"/>
    <w:rsid w:val="005741E3"/>
    <w:rsid w:val="005829E7"/>
    <w:rsid w:val="00584800"/>
    <w:rsid w:val="00585CD0"/>
    <w:rsid w:val="00586173"/>
    <w:rsid w:val="005B1A06"/>
    <w:rsid w:val="005B2516"/>
    <w:rsid w:val="005B40FD"/>
    <w:rsid w:val="005B4E48"/>
    <w:rsid w:val="005B7576"/>
    <w:rsid w:val="005C04EC"/>
    <w:rsid w:val="005C1D05"/>
    <w:rsid w:val="005C31C4"/>
    <w:rsid w:val="005C4E8C"/>
    <w:rsid w:val="005D1436"/>
    <w:rsid w:val="005D2652"/>
    <w:rsid w:val="005D29B8"/>
    <w:rsid w:val="005D5C7F"/>
    <w:rsid w:val="005D7DAB"/>
    <w:rsid w:val="005E11F6"/>
    <w:rsid w:val="005E2F44"/>
    <w:rsid w:val="005E37FE"/>
    <w:rsid w:val="005F09B9"/>
    <w:rsid w:val="006039AD"/>
    <w:rsid w:val="00604365"/>
    <w:rsid w:val="006128C9"/>
    <w:rsid w:val="00632D0A"/>
    <w:rsid w:val="00647455"/>
    <w:rsid w:val="0065348B"/>
    <w:rsid w:val="00654C22"/>
    <w:rsid w:val="0065609A"/>
    <w:rsid w:val="00664A14"/>
    <w:rsid w:val="006746EA"/>
    <w:rsid w:val="00683E55"/>
    <w:rsid w:val="00684DDC"/>
    <w:rsid w:val="00691E74"/>
    <w:rsid w:val="00696E97"/>
    <w:rsid w:val="006A609A"/>
    <w:rsid w:val="006B062A"/>
    <w:rsid w:val="006B17AB"/>
    <w:rsid w:val="006C565E"/>
    <w:rsid w:val="006E0F68"/>
    <w:rsid w:val="006F0C53"/>
    <w:rsid w:val="006F0D94"/>
    <w:rsid w:val="00700590"/>
    <w:rsid w:val="00704F4C"/>
    <w:rsid w:val="00715C79"/>
    <w:rsid w:val="00716EC8"/>
    <w:rsid w:val="007220AB"/>
    <w:rsid w:val="00730789"/>
    <w:rsid w:val="00731141"/>
    <w:rsid w:val="0073633A"/>
    <w:rsid w:val="00736B97"/>
    <w:rsid w:val="00740C7D"/>
    <w:rsid w:val="00743213"/>
    <w:rsid w:val="00743ABD"/>
    <w:rsid w:val="00743B24"/>
    <w:rsid w:val="00743C82"/>
    <w:rsid w:val="00744C70"/>
    <w:rsid w:val="0075581B"/>
    <w:rsid w:val="00767D5B"/>
    <w:rsid w:val="0077117E"/>
    <w:rsid w:val="00774B45"/>
    <w:rsid w:val="0077620C"/>
    <w:rsid w:val="00792A33"/>
    <w:rsid w:val="00793F54"/>
    <w:rsid w:val="00795268"/>
    <w:rsid w:val="007A1D5A"/>
    <w:rsid w:val="007A21BE"/>
    <w:rsid w:val="007A2791"/>
    <w:rsid w:val="007C2241"/>
    <w:rsid w:val="007C55B8"/>
    <w:rsid w:val="007C7AE7"/>
    <w:rsid w:val="007D0E75"/>
    <w:rsid w:val="007D253F"/>
    <w:rsid w:val="007E1B21"/>
    <w:rsid w:val="007E3F73"/>
    <w:rsid w:val="007E4C3D"/>
    <w:rsid w:val="007E51C3"/>
    <w:rsid w:val="007E6218"/>
    <w:rsid w:val="007E758D"/>
    <w:rsid w:val="007F05A8"/>
    <w:rsid w:val="007F330F"/>
    <w:rsid w:val="008117B9"/>
    <w:rsid w:val="008130CD"/>
    <w:rsid w:val="00825313"/>
    <w:rsid w:val="008300AC"/>
    <w:rsid w:val="00830E37"/>
    <w:rsid w:val="0083320F"/>
    <w:rsid w:val="0084282D"/>
    <w:rsid w:val="00847276"/>
    <w:rsid w:val="00847364"/>
    <w:rsid w:val="00853D34"/>
    <w:rsid w:val="00854A43"/>
    <w:rsid w:val="00854AFE"/>
    <w:rsid w:val="00860104"/>
    <w:rsid w:val="0086094F"/>
    <w:rsid w:val="00867057"/>
    <w:rsid w:val="0088030B"/>
    <w:rsid w:val="008878C9"/>
    <w:rsid w:val="00887FBD"/>
    <w:rsid w:val="008946FD"/>
    <w:rsid w:val="008A1E65"/>
    <w:rsid w:val="008A6904"/>
    <w:rsid w:val="008C332A"/>
    <w:rsid w:val="008C3DA6"/>
    <w:rsid w:val="008C5D35"/>
    <w:rsid w:val="008D203B"/>
    <w:rsid w:val="008D27CD"/>
    <w:rsid w:val="008E4763"/>
    <w:rsid w:val="008F3690"/>
    <w:rsid w:val="008F4407"/>
    <w:rsid w:val="00902321"/>
    <w:rsid w:val="00902DD9"/>
    <w:rsid w:val="009139E2"/>
    <w:rsid w:val="0091466D"/>
    <w:rsid w:val="00915822"/>
    <w:rsid w:val="00925166"/>
    <w:rsid w:val="00931643"/>
    <w:rsid w:val="00935D3A"/>
    <w:rsid w:val="009441E2"/>
    <w:rsid w:val="00945BA6"/>
    <w:rsid w:val="0095203C"/>
    <w:rsid w:val="009668E4"/>
    <w:rsid w:val="00966BD9"/>
    <w:rsid w:val="009675DC"/>
    <w:rsid w:val="009734A5"/>
    <w:rsid w:val="0097689C"/>
    <w:rsid w:val="0098229D"/>
    <w:rsid w:val="00983F4A"/>
    <w:rsid w:val="0099075B"/>
    <w:rsid w:val="00991E55"/>
    <w:rsid w:val="0099210F"/>
    <w:rsid w:val="00997A7F"/>
    <w:rsid w:val="009A7C7F"/>
    <w:rsid w:val="009B18EC"/>
    <w:rsid w:val="009B2E98"/>
    <w:rsid w:val="009C13F1"/>
    <w:rsid w:val="009C279D"/>
    <w:rsid w:val="009E4D2D"/>
    <w:rsid w:val="009F00FA"/>
    <w:rsid w:val="009F378A"/>
    <w:rsid w:val="009F3EA4"/>
    <w:rsid w:val="009F4CB7"/>
    <w:rsid w:val="00A001B0"/>
    <w:rsid w:val="00A01C86"/>
    <w:rsid w:val="00A06485"/>
    <w:rsid w:val="00A10C2A"/>
    <w:rsid w:val="00A1163C"/>
    <w:rsid w:val="00A16E9D"/>
    <w:rsid w:val="00A238F0"/>
    <w:rsid w:val="00A26F56"/>
    <w:rsid w:val="00A274D0"/>
    <w:rsid w:val="00A32EA1"/>
    <w:rsid w:val="00A40278"/>
    <w:rsid w:val="00A4287A"/>
    <w:rsid w:val="00A43E6E"/>
    <w:rsid w:val="00A5174F"/>
    <w:rsid w:val="00A55AE4"/>
    <w:rsid w:val="00A56409"/>
    <w:rsid w:val="00A63DF4"/>
    <w:rsid w:val="00A64E9B"/>
    <w:rsid w:val="00A674E0"/>
    <w:rsid w:val="00A7312D"/>
    <w:rsid w:val="00A75CFC"/>
    <w:rsid w:val="00A871C9"/>
    <w:rsid w:val="00A91F56"/>
    <w:rsid w:val="00A965F7"/>
    <w:rsid w:val="00A97B87"/>
    <w:rsid w:val="00AA1DB6"/>
    <w:rsid w:val="00AA5300"/>
    <w:rsid w:val="00AA712C"/>
    <w:rsid w:val="00AB4C98"/>
    <w:rsid w:val="00AB519B"/>
    <w:rsid w:val="00AC0739"/>
    <w:rsid w:val="00AC0FB8"/>
    <w:rsid w:val="00AD7A97"/>
    <w:rsid w:val="00AE60A1"/>
    <w:rsid w:val="00AF393E"/>
    <w:rsid w:val="00AF4714"/>
    <w:rsid w:val="00AF4C58"/>
    <w:rsid w:val="00B030DB"/>
    <w:rsid w:val="00B07126"/>
    <w:rsid w:val="00B15847"/>
    <w:rsid w:val="00B224C4"/>
    <w:rsid w:val="00B27043"/>
    <w:rsid w:val="00B33147"/>
    <w:rsid w:val="00B339A9"/>
    <w:rsid w:val="00B349E0"/>
    <w:rsid w:val="00B36CFC"/>
    <w:rsid w:val="00B41839"/>
    <w:rsid w:val="00B507EA"/>
    <w:rsid w:val="00B546E1"/>
    <w:rsid w:val="00B62B61"/>
    <w:rsid w:val="00B71C52"/>
    <w:rsid w:val="00B729BA"/>
    <w:rsid w:val="00B766CA"/>
    <w:rsid w:val="00B7742C"/>
    <w:rsid w:val="00B8259B"/>
    <w:rsid w:val="00B8585F"/>
    <w:rsid w:val="00B8798E"/>
    <w:rsid w:val="00BB426B"/>
    <w:rsid w:val="00BB43D1"/>
    <w:rsid w:val="00BC21AD"/>
    <w:rsid w:val="00BC3844"/>
    <w:rsid w:val="00BC7259"/>
    <w:rsid w:val="00BD5143"/>
    <w:rsid w:val="00BD57A0"/>
    <w:rsid w:val="00BD5C45"/>
    <w:rsid w:val="00BD76C7"/>
    <w:rsid w:val="00BE308E"/>
    <w:rsid w:val="00BE3F59"/>
    <w:rsid w:val="00BE737D"/>
    <w:rsid w:val="00BF0491"/>
    <w:rsid w:val="00BF434B"/>
    <w:rsid w:val="00BF6422"/>
    <w:rsid w:val="00BF6C9C"/>
    <w:rsid w:val="00C0653D"/>
    <w:rsid w:val="00C10414"/>
    <w:rsid w:val="00C1208A"/>
    <w:rsid w:val="00C15321"/>
    <w:rsid w:val="00C16114"/>
    <w:rsid w:val="00C20260"/>
    <w:rsid w:val="00C33DDE"/>
    <w:rsid w:val="00C36EB6"/>
    <w:rsid w:val="00C41769"/>
    <w:rsid w:val="00C438CD"/>
    <w:rsid w:val="00C43AB7"/>
    <w:rsid w:val="00C52EC3"/>
    <w:rsid w:val="00C639F6"/>
    <w:rsid w:val="00C71810"/>
    <w:rsid w:val="00C760B6"/>
    <w:rsid w:val="00C81A52"/>
    <w:rsid w:val="00C81CDC"/>
    <w:rsid w:val="00C84D73"/>
    <w:rsid w:val="00C90095"/>
    <w:rsid w:val="00C92BC8"/>
    <w:rsid w:val="00CA0AB1"/>
    <w:rsid w:val="00CA330F"/>
    <w:rsid w:val="00CA55C8"/>
    <w:rsid w:val="00CA5EC5"/>
    <w:rsid w:val="00CA73A1"/>
    <w:rsid w:val="00CB7900"/>
    <w:rsid w:val="00CE24A4"/>
    <w:rsid w:val="00CE42F0"/>
    <w:rsid w:val="00CF30BB"/>
    <w:rsid w:val="00D05A58"/>
    <w:rsid w:val="00D2012D"/>
    <w:rsid w:val="00D269F6"/>
    <w:rsid w:val="00D32400"/>
    <w:rsid w:val="00D32A0F"/>
    <w:rsid w:val="00D35D9D"/>
    <w:rsid w:val="00D5066E"/>
    <w:rsid w:val="00D5458A"/>
    <w:rsid w:val="00D57797"/>
    <w:rsid w:val="00D614D8"/>
    <w:rsid w:val="00D63A0A"/>
    <w:rsid w:val="00D678C1"/>
    <w:rsid w:val="00D733EB"/>
    <w:rsid w:val="00D74017"/>
    <w:rsid w:val="00D74DBB"/>
    <w:rsid w:val="00D75D36"/>
    <w:rsid w:val="00D91B88"/>
    <w:rsid w:val="00D97B6D"/>
    <w:rsid w:val="00DA13B1"/>
    <w:rsid w:val="00DA2F4E"/>
    <w:rsid w:val="00DB0248"/>
    <w:rsid w:val="00DB0ACF"/>
    <w:rsid w:val="00DB10B1"/>
    <w:rsid w:val="00DC068F"/>
    <w:rsid w:val="00DC779F"/>
    <w:rsid w:val="00DC7D98"/>
    <w:rsid w:val="00DD2B7D"/>
    <w:rsid w:val="00DD500D"/>
    <w:rsid w:val="00DE3DCB"/>
    <w:rsid w:val="00E05D2F"/>
    <w:rsid w:val="00E072F9"/>
    <w:rsid w:val="00E10F0A"/>
    <w:rsid w:val="00E13F7B"/>
    <w:rsid w:val="00E16FF2"/>
    <w:rsid w:val="00E23E6B"/>
    <w:rsid w:val="00E244FA"/>
    <w:rsid w:val="00E4580A"/>
    <w:rsid w:val="00E473AD"/>
    <w:rsid w:val="00E47C96"/>
    <w:rsid w:val="00E54DDF"/>
    <w:rsid w:val="00E56984"/>
    <w:rsid w:val="00E63D0F"/>
    <w:rsid w:val="00E64765"/>
    <w:rsid w:val="00E6587C"/>
    <w:rsid w:val="00E66698"/>
    <w:rsid w:val="00E76644"/>
    <w:rsid w:val="00E83EFB"/>
    <w:rsid w:val="00E85EA6"/>
    <w:rsid w:val="00E861E5"/>
    <w:rsid w:val="00E9098C"/>
    <w:rsid w:val="00E96C84"/>
    <w:rsid w:val="00E97681"/>
    <w:rsid w:val="00EA0221"/>
    <w:rsid w:val="00EA0376"/>
    <w:rsid w:val="00EA70B6"/>
    <w:rsid w:val="00EA776C"/>
    <w:rsid w:val="00EA7978"/>
    <w:rsid w:val="00EB01B2"/>
    <w:rsid w:val="00EB36EE"/>
    <w:rsid w:val="00EB5056"/>
    <w:rsid w:val="00EB570D"/>
    <w:rsid w:val="00EB7CE1"/>
    <w:rsid w:val="00EC077D"/>
    <w:rsid w:val="00EC1D52"/>
    <w:rsid w:val="00EC3742"/>
    <w:rsid w:val="00ED168F"/>
    <w:rsid w:val="00ED4AE5"/>
    <w:rsid w:val="00EE3926"/>
    <w:rsid w:val="00EE5A01"/>
    <w:rsid w:val="00EE77DD"/>
    <w:rsid w:val="00EF4096"/>
    <w:rsid w:val="00F00153"/>
    <w:rsid w:val="00F03E62"/>
    <w:rsid w:val="00F22F26"/>
    <w:rsid w:val="00F25691"/>
    <w:rsid w:val="00F3023A"/>
    <w:rsid w:val="00F32A07"/>
    <w:rsid w:val="00F36C82"/>
    <w:rsid w:val="00F40E2F"/>
    <w:rsid w:val="00F434EA"/>
    <w:rsid w:val="00F45D7B"/>
    <w:rsid w:val="00F477DF"/>
    <w:rsid w:val="00F5509D"/>
    <w:rsid w:val="00F56E49"/>
    <w:rsid w:val="00F5756E"/>
    <w:rsid w:val="00F67018"/>
    <w:rsid w:val="00F711CC"/>
    <w:rsid w:val="00F80C4A"/>
    <w:rsid w:val="00F84542"/>
    <w:rsid w:val="00F87D67"/>
    <w:rsid w:val="00F95E3D"/>
    <w:rsid w:val="00FA06A6"/>
    <w:rsid w:val="00FA0910"/>
    <w:rsid w:val="00FB4D3A"/>
    <w:rsid w:val="00FC1D65"/>
    <w:rsid w:val="00FE4A2E"/>
    <w:rsid w:val="00FF5E67"/>
    <w:rsid w:val="16FCB5C9"/>
    <w:rsid w:val="2A7519F7"/>
    <w:rsid w:val="6FF89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0653A2"/>
  <w14:defaultImageDpi w14:val="300"/>
  <w15:docId w15:val="{CC340C41-584B-42CC-B848-253AFB75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4A4"/>
    <w:pPr>
      <w:spacing w:after="200" w:line="276" w:lineRule="auto"/>
    </w:pPr>
    <w:rPr>
      <w:rFonts w:eastAsiaTheme="minorHAnsi"/>
      <w:sz w:val="22"/>
      <w:szCs w:val="22"/>
      <w:lang w:val="en-NZ"/>
    </w:rPr>
  </w:style>
  <w:style w:type="paragraph" w:styleId="Heading1">
    <w:name w:val="heading 1"/>
    <w:basedOn w:val="Normal"/>
    <w:next w:val="Normal"/>
    <w:link w:val="Heading1Char"/>
    <w:uiPriority w:val="9"/>
    <w:qFormat/>
    <w:rsid w:val="00FF5E67"/>
    <w:pPr>
      <w:keepNext/>
      <w:keepLines/>
      <w:spacing w:before="480"/>
      <w:outlineLvl w:val="0"/>
    </w:pPr>
    <w:rPr>
      <w:rFonts w:asciiTheme="majorHAnsi" w:eastAsiaTheme="majorEastAsia" w:hAnsiTheme="majorHAnsi" w:cstheme="majorBidi"/>
      <w:b/>
      <w:bCs/>
      <w:color w:val="3B3C3F" w:themeColor="accent1" w:themeShade="B5"/>
      <w:sz w:val="32"/>
      <w:szCs w:val="32"/>
    </w:rPr>
  </w:style>
  <w:style w:type="paragraph" w:styleId="Heading2">
    <w:name w:val="heading 2"/>
    <w:basedOn w:val="Normal"/>
    <w:next w:val="Normal"/>
    <w:link w:val="Heading2Char"/>
    <w:uiPriority w:val="9"/>
    <w:semiHidden/>
    <w:unhideWhenUsed/>
    <w:qFormat/>
    <w:rsid w:val="00176949"/>
    <w:pPr>
      <w:keepNext/>
      <w:keepLines/>
      <w:spacing w:before="200" w:after="0"/>
      <w:outlineLvl w:val="1"/>
    </w:pPr>
    <w:rPr>
      <w:rFonts w:asciiTheme="majorHAnsi" w:eastAsiaTheme="majorEastAsia" w:hAnsiTheme="majorHAnsi" w:cstheme="majorBidi"/>
      <w:b/>
      <w:bCs/>
      <w:color w:val="53565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6EE"/>
    <w:pPr>
      <w:tabs>
        <w:tab w:val="center" w:pos="4320"/>
        <w:tab w:val="right" w:pos="8640"/>
      </w:tabs>
    </w:pPr>
  </w:style>
  <w:style w:type="character" w:customStyle="1" w:styleId="HeaderChar">
    <w:name w:val="Header Char"/>
    <w:basedOn w:val="DefaultParagraphFont"/>
    <w:link w:val="Header"/>
    <w:uiPriority w:val="99"/>
    <w:rsid w:val="00EB36EE"/>
  </w:style>
  <w:style w:type="paragraph" w:styleId="Footer">
    <w:name w:val="footer"/>
    <w:basedOn w:val="Normal"/>
    <w:link w:val="FooterChar"/>
    <w:uiPriority w:val="99"/>
    <w:unhideWhenUsed/>
    <w:rsid w:val="00EB36EE"/>
    <w:pPr>
      <w:tabs>
        <w:tab w:val="center" w:pos="4320"/>
        <w:tab w:val="right" w:pos="8640"/>
      </w:tabs>
    </w:pPr>
  </w:style>
  <w:style w:type="character" w:customStyle="1" w:styleId="FooterChar">
    <w:name w:val="Footer Char"/>
    <w:basedOn w:val="DefaultParagraphFont"/>
    <w:link w:val="Footer"/>
    <w:uiPriority w:val="99"/>
    <w:rsid w:val="00EB36EE"/>
  </w:style>
  <w:style w:type="paragraph" w:styleId="BalloonText">
    <w:name w:val="Balloon Text"/>
    <w:basedOn w:val="Normal"/>
    <w:link w:val="BalloonTextChar"/>
    <w:uiPriority w:val="99"/>
    <w:semiHidden/>
    <w:unhideWhenUsed/>
    <w:rsid w:val="00EB3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6EE"/>
    <w:rPr>
      <w:rFonts w:ascii="Lucida Grande" w:hAnsi="Lucida Grande" w:cs="Lucida Grande"/>
      <w:sz w:val="18"/>
      <w:szCs w:val="18"/>
    </w:rPr>
  </w:style>
  <w:style w:type="table" w:styleId="TableGrid">
    <w:name w:val="Table Grid"/>
    <w:basedOn w:val="TableNormal"/>
    <w:uiPriority w:val="59"/>
    <w:rsid w:val="00FF5E67"/>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64765"/>
    <w:pPr>
      <w:numPr>
        <w:numId w:val="1"/>
      </w:numPr>
      <w:contextualSpacing/>
    </w:pPr>
  </w:style>
  <w:style w:type="paragraph" w:customStyle="1" w:styleId="Body">
    <w:name w:val="Body"/>
    <w:basedOn w:val="Normal"/>
    <w:uiPriority w:val="99"/>
    <w:rsid w:val="00E64765"/>
    <w:pPr>
      <w:widowControl w:val="0"/>
      <w:autoSpaceDE w:val="0"/>
      <w:autoSpaceDN w:val="0"/>
      <w:adjustRightInd w:val="0"/>
      <w:spacing w:line="288" w:lineRule="auto"/>
      <w:textAlignment w:val="center"/>
    </w:pPr>
    <w:rPr>
      <w:rFonts w:ascii="MuseoSans-300" w:hAnsi="MuseoSans-300" w:cs="MuseoSans-300"/>
      <w:color w:val="58585B"/>
      <w:sz w:val="16"/>
      <w:szCs w:val="16"/>
    </w:rPr>
  </w:style>
  <w:style w:type="character" w:customStyle="1" w:styleId="BodyBold">
    <w:name w:val="Body Bold"/>
    <w:uiPriority w:val="99"/>
    <w:rsid w:val="00E64765"/>
    <w:rPr>
      <w:rFonts w:ascii="MuseoSans-900" w:hAnsi="MuseoSans-900" w:cs="MuseoSans-900"/>
    </w:rPr>
  </w:style>
  <w:style w:type="character" w:styleId="Hyperlink">
    <w:name w:val="Hyperlink"/>
    <w:basedOn w:val="DefaultParagraphFont"/>
    <w:uiPriority w:val="99"/>
    <w:unhideWhenUsed/>
    <w:rsid w:val="00C1208A"/>
    <w:rPr>
      <w:color w:val="D0D0CE" w:themeColor="hyperlink"/>
      <w:u w:val="single"/>
    </w:rPr>
  </w:style>
  <w:style w:type="paragraph" w:styleId="TOC1">
    <w:name w:val="toc 1"/>
    <w:basedOn w:val="Normal"/>
    <w:next w:val="Normal"/>
    <w:autoRedefine/>
    <w:uiPriority w:val="39"/>
    <w:unhideWhenUsed/>
    <w:rsid w:val="00FF5E67"/>
    <w:pPr>
      <w:spacing w:before="120"/>
    </w:pPr>
    <w:rPr>
      <w:b/>
    </w:rPr>
  </w:style>
  <w:style w:type="paragraph" w:styleId="TOC2">
    <w:name w:val="toc 2"/>
    <w:basedOn w:val="Normal"/>
    <w:next w:val="Normal"/>
    <w:autoRedefine/>
    <w:uiPriority w:val="39"/>
    <w:unhideWhenUsed/>
    <w:rsid w:val="00FF5E67"/>
    <w:pPr>
      <w:ind w:left="240"/>
    </w:pPr>
    <w:rPr>
      <w:b/>
    </w:rPr>
  </w:style>
  <w:style w:type="paragraph" w:styleId="TOC3">
    <w:name w:val="toc 3"/>
    <w:basedOn w:val="Normal"/>
    <w:next w:val="Normal"/>
    <w:autoRedefine/>
    <w:uiPriority w:val="39"/>
    <w:unhideWhenUsed/>
    <w:rsid w:val="00FF5E67"/>
    <w:pPr>
      <w:ind w:left="480"/>
    </w:pPr>
  </w:style>
  <w:style w:type="paragraph" w:styleId="TOC4">
    <w:name w:val="toc 4"/>
    <w:basedOn w:val="Normal"/>
    <w:next w:val="Normal"/>
    <w:autoRedefine/>
    <w:uiPriority w:val="39"/>
    <w:unhideWhenUsed/>
    <w:rsid w:val="00FF5E67"/>
    <w:pPr>
      <w:ind w:left="720"/>
    </w:pPr>
    <w:rPr>
      <w:sz w:val="20"/>
      <w:szCs w:val="20"/>
    </w:rPr>
  </w:style>
  <w:style w:type="paragraph" w:styleId="TOC5">
    <w:name w:val="toc 5"/>
    <w:basedOn w:val="Normal"/>
    <w:next w:val="Normal"/>
    <w:autoRedefine/>
    <w:uiPriority w:val="39"/>
    <w:unhideWhenUsed/>
    <w:rsid w:val="00FF5E67"/>
    <w:pPr>
      <w:ind w:left="960"/>
    </w:pPr>
    <w:rPr>
      <w:sz w:val="20"/>
      <w:szCs w:val="20"/>
    </w:rPr>
  </w:style>
  <w:style w:type="paragraph" w:styleId="TOC6">
    <w:name w:val="toc 6"/>
    <w:basedOn w:val="Normal"/>
    <w:next w:val="Normal"/>
    <w:autoRedefine/>
    <w:uiPriority w:val="39"/>
    <w:unhideWhenUsed/>
    <w:rsid w:val="00FF5E67"/>
    <w:pPr>
      <w:ind w:left="1200"/>
    </w:pPr>
    <w:rPr>
      <w:sz w:val="20"/>
      <w:szCs w:val="20"/>
    </w:rPr>
  </w:style>
  <w:style w:type="paragraph" w:styleId="TOC7">
    <w:name w:val="toc 7"/>
    <w:basedOn w:val="Normal"/>
    <w:next w:val="Normal"/>
    <w:autoRedefine/>
    <w:uiPriority w:val="39"/>
    <w:unhideWhenUsed/>
    <w:rsid w:val="00FF5E67"/>
    <w:pPr>
      <w:ind w:left="1440"/>
    </w:pPr>
    <w:rPr>
      <w:sz w:val="20"/>
      <w:szCs w:val="20"/>
    </w:rPr>
  </w:style>
  <w:style w:type="paragraph" w:styleId="TOC8">
    <w:name w:val="toc 8"/>
    <w:basedOn w:val="Normal"/>
    <w:next w:val="Normal"/>
    <w:autoRedefine/>
    <w:uiPriority w:val="39"/>
    <w:unhideWhenUsed/>
    <w:rsid w:val="00FF5E67"/>
    <w:pPr>
      <w:ind w:left="1680"/>
    </w:pPr>
    <w:rPr>
      <w:sz w:val="20"/>
      <w:szCs w:val="20"/>
    </w:rPr>
  </w:style>
  <w:style w:type="paragraph" w:styleId="TOC9">
    <w:name w:val="toc 9"/>
    <w:basedOn w:val="Normal"/>
    <w:next w:val="Normal"/>
    <w:autoRedefine/>
    <w:uiPriority w:val="39"/>
    <w:unhideWhenUsed/>
    <w:rsid w:val="00FF5E67"/>
    <w:pPr>
      <w:ind w:left="1920"/>
    </w:pPr>
    <w:rPr>
      <w:sz w:val="20"/>
      <w:szCs w:val="20"/>
    </w:rPr>
  </w:style>
  <w:style w:type="character" w:customStyle="1" w:styleId="Heading1Char">
    <w:name w:val="Heading 1 Char"/>
    <w:basedOn w:val="DefaultParagraphFont"/>
    <w:link w:val="Heading1"/>
    <w:uiPriority w:val="9"/>
    <w:rsid w:val="00FF5E67"/>
    <w:rPr>
      <w:rFonts w:asciiTheme="majorHAnsi" w:eastAsiaTheme="majorEastAsia" w:hAnsiTheme="majorHAnsi" w:cstheme="majorBidi"/>
      <w:b/>
      <w:bCs/>
      <w:color w:val="3B3C3F" w:themeColor="accent1" w:themeShade="B5"/>
      <w:sz w:val="32"/>
      <w:szCs w:val="32"/>
    </w:rPr>
  </w:style>
  <w:style w:type="paragraph" w:styleId="TOCHeading">
    <w:name w:val="TOC Heading"/>
    <w:basedOn w:val="Heading1"/>
    <w:next w:val="Normal"/>
    <w:uiPriority w:val="39"/>
    <w:unhideWhenUsed/>
    <w:qFormat/>
    <w:rsid w:val="00FF5E67"/>
    <w:pPr>
      <w:outlineLvl w:val="9"/>
    </w:pPr>
    <w:rPr>
      <w:color w:val="3E4043" w:themeColor="accent1" w:themeShade="BF"/>
      <w:sz w:val="28"/>
      <w:szCs w:val="28"/>
    </w:rPr>
  </w:style>
  <w:style w:type="paragraph" w:customStyle="1" w:styleId="Keyfactsheader">
    <w:name w:val="Key facts header"/>
    <w:basedOn w:val="Normal"/>
    <w:uiPriority w:val="99"/>
    <w:rsid w:val="00EF4096"/>
    <w:pPr>
      <w:widowControl w:val="0"/>
      <w:autoSpaceDE w:val="0"/>
      <w:autoSpaceDN w:val="0"/>
      <w:adjustRightInd w:val="0"/>
      <w:spacing w:line="360" w:lineRule="atLeast"/>
      <w:textAlignment w:val="center"/>
    </w:pPr>
    <w:rPr>
      <w:rFonts w:ascii="MuseoSans-700" w:hAnsi="MuseoSans-700" w:cs="MuseoSans-700"/>
      <w:color w:val="53565A"/>
      <w:sz w:val="28"/>
      <w:szCs w:val="28"/>
    </w:rPr>
  </w:style>
  <w:style w:type="paragraph" w:customStyle="1" w:styleId="bulletpoints">
    <w:name w:val="bullet points"/>
    <w:basedOn w:val="Body"/>
    <w:uiPriority w:val="99"/>
    <w:rsid w:val="00EF4096"/>
    <w:pPr>
      <w:spacing w:line="260" w:lineRule="atLeast"/>
      <w:ind w:left="283" w:hanging="283"/>
    </w:pPr>
    <w:rPr>
      <w:rFonts w:ascii="MuseoSans-100" w:hAnsi="MuseoSans-100" w:cs="MuseoSans-100"/>
      <w:color w:val="000000"/>
      <w:sz w:val="20"/>
      <w:szCs w:val="20"/>
    </w:rPr>
  </w:style>
  <w:style w:type="paragraph" w:styleId="ListParagraph">
    <w:name w:val="List Paragraph"/>
    <w:basedOn w:val="Normal"/>
    <w:uiPriority w:val="34"/>
    <w:qFormat/>
    <w:rsid w:val="00EF4096"/>
    <w:pPr>
      <w:ind w:left="720"/>
      <w:contextualSpacing/>
    </w:pPr>
  </w:style>
  <w:style w:type="character" w:styleId="FollowedHyperlink">
    <w:name w:val="FollowedHyperlink"/>
    <w:basedOn w:val="DefaultParagraphFont"/>
    <w:uiPriority w:val="99"/>
    <w:semiHidden/>
    <w:unhideWhenUsed/>
    <w:rsid w:val="00767D5B"/>
    <w:rPr>
      <w:color w:val="00BFD7" w:themeColor="followedHyperlink"/>
      <w:u w:val="single"/>
    </w:rPr>
  </w:style>
  <w:style w:type="paragraph" w:customStyle="1" w:styleId="AgendaH1">
    <w:name w:val="AgendaH1"/>
    <w:basedOn w:val="Normal"/>
    <w:qFormat/>
    <w:rsid w:val="00EE3926"/>
    <w:pPr>
      <w:framePr w:hSpace="180" w:wrap="around" w:vAnchor="page" w:hAnchor="text" w:xAlign="center" w:y="2629"/>
      <w:widowControl w:val="0"/>
      <w:autoSpaceDE w:val="0"/>
      <w:autoSpaceDN w:val="0"/>
      <w:adjustRightInd w:val="0"/>
      <w:spacing w:line="360" w:lineRule="atLeast"/>
      <w:textAlignment w:val="center"/>
    </w:pPr>
    <w:rPr>
      <w:rFonts w:cs="MuseoSans-700"/>
      <w:b/>
      <w:color w:val="53565A"/>
      <w:sz w:val="20"/>
    </w:rPr>
  </w:style>
  <w:style w:type="table" w:styleId="LightShading-Accent2">
    <w:name w:val="Light Shading Accent 2"/>
    <w:basedOn w:val="TableNormal"/>
    <w:uiPriority w:val="60"/>
    <w:rsid w:val="0025034A"/>
    <w:rPr>
      <w:color w:val="9D9D98" w:themeColor="accent2" w:themeShade="BF"/>
    </w:rPr>
    <w:tblPr>
      <w:tblStyleRowBandSize w:val="1"/>
      <w:tblStyleColBandSize w:val="1"/>
      <w:tblBorders>
        <w:top w:val="single" w:sz="8" w:space="0" w:color="D0D0CE" w:themeColor="accent2"/>
        <w:bottom w:val="single" w:sz="8" w:space="0" w:color="D0D0CE" w:themeColor="accent2"/>
      </w:tblBorders>
    </w:tblPr>
    <w:tblStylePr w:type="firstRow">
      <w:pPr>
        <w:spacing w:before="0" w:after="0" w:line="240" w:lineRule="auto"/>
      </w:pPr>
      <w:rPr>
        <w:b/>
        <w:bCs/>
      </w:rPr>
      <w:tblPr/>
      <w:tcPr>
        <w:tcBorders>
          <w:top w:val="single" w:sz="8" w:space="0" w:color="D0D0CE" w:themeColor="accent2"/>
          <w:left w:val="nil"/>
          <w:bottom w:val="single" w:sz="8" w:space="0" w:color="D0D0CE" w:themeColor="accent2"/>
          <w:right w:val="nil"/>
          <w:insideH w:val="nil"/>
          <w:insideV w:val="nil"/>
        </w:tcBorders>
      </w:tcPr>
    </w:tblStylePr>
    <w:tblStylePr w:type="lastRow">
      <w:pPr>
        <w:spacing w:before="0" w:after="0" w:line="240" w:lineRule="auto"/>
      </w:pPr>
      <w:rPr>
        <w:b/>
        <w:bCs/>
      </w:rPr>
      <w:tblPr/>
      <w:tcPr>
        <w:tcBorders>
          <w:top w:val="single" w:sz="8" w:space="0" w:color="D0D0CE" w:themeColor="accent2"/>
          <w:left w:val="nil"/>
          <w:bottom w:val="single" w:sz="8" w:space="0" w:color="D0D0C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F2" w:themeFill="accent2" w:themeFillTint="3F"/>
      </w:tcPr>
    </w:tblStylePr>
    <w:tblStylePr w:type="band1Horz">
      <w:tblPr/>
      <w:tcPr>
        <w:tcBorders>
          <w:left w:val="nil"/>
          <w:right w:val="nil"/>
          <w:insideH w:val="nil"/>
          <w:insideV w:val="nil"/>
        </w:tcBorders>
        <w:shd w:val="clear" w:color="auto" w:fill="F3F3F2" w:themeFill="accent2" w:themeFillTint="3F"/>
      </w:tcPr>
    </w:tblStylePr>
  </w:style>
  <w:style w:type="table" w:styleId="LightShading-Accent5">
    <w:name w:val="Light Shading Accent 5"/>
    <w:basedOn w:val="TableNormal"/>
    <w:uiPriority w:val="60"/>
    <w:rsid w:val="0025034A"/>
    <w:rPr>
      <w:color w:val="5E6267" w:themeColor="accent5" w:themeShade="BF"/>
    </w:rPr>
    <w:tblPr>
      <w:tblStyleRowBandSize w:val="1"/>
      <w:tblStyleColBandSize w:val="1"/>
      <w:tblBorders>
        <w:top w:val="single" w:sz="8" w:space="0" w:color="7E838A" w:themeColor="accent5"/>
        <w:bottom w:val="single" w:sz="8" w:space="0" w:color="7E838A" w:themeColor="accent5"/>
      </w:tblBorders>
    </w:tblPr>
    <w:tblStylePr w:type="firstRow">
      <w:pPr>
        <w:spacing w:before="0" w:after="0" w:line="240" w:lineRule="auto"/>
      </w:pPr>
      <w:rPr>
        <w:b/>
        <w:bCs/>
      </w:rPr>
      <w:tblPr/>
      <w:tcPr>
        <w:tcBorders>
          <w:top w:val="single" w:sz="8" w:space="0" w:color="7E838A" w:themeColor="accent5"/>
          <w:left w:val="nil"/>
          <w:bottom w:val="single" w:sz="8" w:space="0" w:color="7E838A" w:themeColor="accent5"/>
          <w:right w:val="nil"/>
          <w:insideH w:val="nil"/>
          <w:insideV w:val="nil"/>
        </w:tcBorders>
      </w:tcPr>
    </w:tblStylePr>
    <w:tblStylePr w:type="lastRow">
      <w:pPr>
        <w:spacing w:before="0" w:after="0" w:line="240" w:lineRule="auto"/>
      </w:pPr>
      <w:rPr>
        <w:b/>
        <w:bCs/>
      </w:rPr>
      <w:tblPr/>
      <w:tcPr>
        <w:tcBorders>
          <w:top w:val="single" w:sz="8" w:space="0" w:color="7E838A" w:themeColor="accent5"/>
          <w:left w:val="nil"/>
          <w:bottom w:val="single" w:sz="8" w:space="0" w:color="7E838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0E2" w:themeFill="accent5" w:themeFillTint="3F"/>
      </w:tcPr>
    </w:tblStylePr>
    <w:tblStylePr w:type="band1Horz">
      <w:tblPr/>
      <w:tcPr>
        <w:tcBorders>
          <w:left w:val="nil"/>
          <w:right w:val="nil"/>
          <w:insideH w:val="nil"/>
          <w:insideV w:val="nil"/>
        </w:tcBorders>
        <w:shd w:val="clear" w:color="auto" w:fill="DFE0E2" w:themeFill="accent5" w:themeFillTint="3F"/>
      </w:tcPr>
    </w:tblStylePr>
  </w:style>
  <w:style w:type="table" w:styleId="LightGrid-Accent2">
    <w:name w:val="Light Grid Accent 2"/>
    <w:basedOn w:val="TableNormal"/>
    <w:uiPriority w:val="62"/>
    <w:rsid w:val="00EE3926"/>
    <w:tblPr>
      <w:tblStyleRowBandSize w:val="1"/>
      <w:tblStyleColBandSize w:val="1"/>
      <w:tblBorders>
        <w:top w:val="single" w:sz="8" w:space="0" w:color="D0D0CE" w:themeColor="accent2"/>
        <w:left w:val="single" w:sz="8" w:space="0" w:color="D0D0CE" w:themeColor="accent2"/>
        <w:bottom w:val="single" w:sz="8" w:space="0" w:color="D0D0CE" w:themeColor="accent2"/>
        <w:right w:val="single" w:sz="8" w:space="0" w:color="D0D0CE" w:themeColor="accent2"/>
        <w:insideH w:val="single" w:sz="8" w:space="0" w:color="D0D0CE" w:themeColor="accent2"/>
        <w:insideV w:val="single" w:sz="8" w:space="0" w:color="D0D0C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0CE" w:themeColor="accent2"/>
          <w:left w:val="single" w:sz="8" w:space="0" w:color="D0D0CE" w:themeColor="accent2"/>
          <w:bottom w:val="single" w:sz="18" w:space="0" w:color="D0D0CE" w:themeColor="accent2"/>
          <w:right w:val="single" w:sz="8" w:space="0" w:color="D0D0CE" w:themeColor="accent2"/>
          <w:insideH w:val="nil"/>
          <w:insideV w:val="single" w:sz="8" w:space="0" w:color="D0D0C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0CE" w:themeColor="accent2"/>
          <w:left w:val="single" w:sz="8" w:space="0" w:color="D0D0CE" w:themeColor="accent2"/>
          <w:bottom w:val="single" w:sz="8" w:space="0" w:color="D0D0CE" w:themeColor="accent2"/>
          <w:right w:val="single" w:sz="8" w:space="0" w:color="D0D0CE" w:themeColor="accent2"/>
          <w:insideH w:val="nil"/>
          <w:insideV w:val="single" w:sz="8" w:space="0" w:color="D0D0C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0CE" w:themeColor="accent2"/>
          <w:left w:val="single" w:sz="8" w:space="0" w:color="D0D0CE" w:themeColor="accent2"/>
          <w:bottom w:val="single" w:sz="8" w:space="0" w:color="D0D0CE" w:themeColor="accent2"/>
          <w:right w:val="single" w:sz="8" w:space="0" w:color="D0D0CE" w:themeColor="accent2"/>
        </w:tcBorders>
      </w:tcPr>
    </w:tblStylePr>
    <w:tblStylePr w:type="band1Vert">
      <w:tblPr/>
      <w:tcPr>
        <w:tcBorders>
          <w:top w:val="single" w:sz="8" w:space="0" w:color="D0D0CE" w:themeColor="accent2"/>
          <w:left w:val="single" w:sz="8" w:space="0" w:color="D0D0CE" w:themeColor="accent2"/>
          <w:bottom w:val="single" w:sz="8" w:space="0" w:color="D0D0CE" w:themeColor="accent2"/>
          <w:right w:val="single" w:sz="8" w:space="0" w:color="D0D0CE" w:themeColor="accent2"/>
        </w:tcBorders>
        <w:shd w:val="clear" w:color="auto" w:fill="F3F3F2" w:themeFill="accent2" w:themeFillTint="3F"/>
      </w:tcPr>
    </w:tblStylePr>
    <w:tblStylePr w:type="band1Horz">
      <w:tblPr/>
      <w:tcPr>
        <w:tcBorders>
          <w:top w:val="single" w:sz="8" w:space="0" w:color="D0D0CE" w:themeColor="accent2"/>
          <w:left w:val="single" w:sz="8" w:space="0" w:color="D0D0CE" w:themeColor="accent2"/>
          <w:bottom w:val="single" w:sz="8" w:space="0" w:color="D0D0CE" w:themeColor="accent2"/>
          <w:right w:val="single" w:sz="8" w:space="0" w:color="D0D0CE" w:themeColor="accent2"/>
          <w:insideV w:val="single" w:sz="8" w:space="0" w:color="D0D0CE" w:themeColor="accent2"/>
        </w:tcBorders>
        <w:shd w:val="clear" w:color="auto" w:fill="F3F3F2" w:themeFill="accent2" w:themeFillTint="3F"/>
      </w:tcPr>
    </w:tblStylePr>
    <w:tblStylePr w:type="band2Horz">
      <w:tblPr/>
      <w:tcPr>
        <w:tcBorders>
          <w:top w:val="single" w:sz="8" w:space="0" w:color="D0D0CE" w:themeColor="accent2"/>
          <w:left w:val="single" w:sz="8" w:space="0" w:color="D0D0CE" w:themeColor="accent2"/>
          <w:bottom w:val="single" w:sz="8" w:space="0" w:color="D0D0CE" w:themeColor="accent2"/>
          <w:right w:val="single" w:sz="8" w:space="0" w:color="D0D0CE" w:themeColor="accent2"/>
          <w:insideV w:val="single" w:sz="8" w:space="0" w:color="D0D0CE" w:themeColor="accent2"/>
        </w:tcBorders>
      </w:tcPr>
    </w:tblStylePr>
  </w:style>
  <w:style w:type="paragraph" w:customStyle="1" w:styleId="AgendaBody">
    <w:name w:val="Agenda Body"/>
    <w:basedOn w:val="AgendaH1"/>
    <w:qFormat/>
    <w:rsid w:val="00EE3926"/>
    <w:pPr>
      <w:framePr w:wrap="around"/>
    </w:pPr>
    <w:rPr>
      <w:b w:val="0"/>
    </w:rPr>
  </w:style>
  <w:style w:type="table" w:styleId="LightList-Accent2">
    <w:name w:val="Light List Accent 2"/>
    <w:basedOn w:val="TableNormal"/>
    <w:uiPriority w:val="61"/>
    <w:rsid w:val="00EE3926"/>
    <w:tblPr>
      <w:tblStyleRowBandSize w:val="1"/>
      <w:tblStyleColBandSize w:val="1"/>
      <w:tblBorders>
        <w:top w:val="single" w:sz="8" w:space="0" w:color="D0D0CE" w:themeColor="accent2"/>
        <w:left w:val="single" w:sz="8" w:space="0" w:color="D0D0CE" w:themeColor="accent2"/>
        <w:bottom w:val="single" w:sz="8" w:space="0" w:color="D0D0CE" w:themeColor="accent2"/>
        <w:right w:val="single" w:sz="8" w:space="0" w:color="D0D0CE" w:themeColor="accent2"/>
      </w:tblBorders>
    </w:tblPr>
    <w:tblStylePr w:type="firstRow">
      <w:pPr>
        <w:spacing w:before="0" w:after="0" w:line="240" w:lineRule="auto"/>
      </w:pPr>
      <w:rPr>
        <w:b/>
        <w:bCs/>
        <w:color w:val="FFFFFF" w:themeColor="background1"/>
      </w:rPr>
      <w:tblPr/>
      <w:tcPr>
        <w:shd w:val="clear" w:color="auto" w:fill="D0D0CE" w:themeFill="accent2"/>
      </w:tcPr>
    </w:tblStylePr>
    <w:tblStylePr w:type="lastRow">
      <w:pPr>
        <w:spacing w:before="0" w:after="0" w:line="240" w:lineRule="auto"/>
      </w:pPr>
      <w:rPr>
        <w:b/>
        <w:bCs/>
      </w:rPr>
      <w:tblPr/>
      <w:tcPr>
        <w:tcBorders>
          <w:top w:val="double" w:sz="6" w:space="0" w:color="D0D0CE" w:themeColor="accent2"/>
          <w:left w:val="single" w:sz="8" w:space="0" w:color="D0D0CE" w:themeColor="accent2"/>
          <w:bottom w:val="single" w:sz="8" w:space="0" w:color="D0D0CE" w:themeColor="accent2"/>
          <w:right w:val="single" w:sz="8" w:space="0" w:color="D0D0CE" w:themeColor="accent2"/>
        </w:tcBorders>
      </w:tcPr>
    </w:tblStylePr>
    <w:tblStylePr w:type="firstCol">
      <w:rPr>
        <w:b/>
        <w:bCs/>
      </w:rPr>
    </w:tblStylePr>
    <w:tblStylePr w:type="lastCol">
      <w:rPr>
        <w:b/>
        <w:bCs/>
      </w:rPr>
    </w:tblStylePr>
    <w:tblStylePr w:type="band1Vert">
      <w:tblPr/>
      <w:tcPr>
        <w:tcBorders>
          <w:top w:val="single" w:sz="8" w:space="0" w:color="D0D0CE" w:themeColor="accent2"/>
          <w:left w:val="single" w:sz="8" w:space="0" w:color="D0D0CE" w:themeColor="accent2"/>
          <w:bottom w:val="single" w:sz="8" w:space="0" w:color="D0D0CE" w:themeColor="accent2"/>
          <w:right w:val="single" w:sz="8" w:space="0" w:color="D0D0CE" w:themeColor="accent2"/>
        </w:tcBorders>
      </w:tcPr>
    </w:tblStylePr>
    <w:tblStylePr w:type="band1Horz">
      <w:tblPr/>
      <w:tcPr>
        <w:tcBorders>
          <w:top w:val="single" w:sz="8" w:space="0" w:color="D0D0CE" w:themeColor="accent2"/>
          <w:left w:val="single" w:sz="8" w:space="0" w:color="D0D0CE" w:themeColor="accent2"/>
          <w:bottom w:val="single" w:sz="8" w:space="0" w:color="D0D0CE" w:themeColor="accent2"/>
          <w:right w:val="single" w:sz="8" w:space="0" w:color="D0D0CE" w:themeColor="accent2"/>
        </w:tcBorders>
      </w:tcPr>
    </w:tblStylePr>
  </w:style>
  <w:style w:type="character" w:customStyle="1" w:styleId="Heading2Char">
    <w:name w:val="Heading 2 Char"/>
    <w:basedOn w:val="DefaultParagraphFont"/>
    <w:link w:val="Heading2"/>
    <w:uiPriority w:val="9"/>
    <w:semiHidden/>
    <w:rsid w:val="00176949"/>
    <w:rPr>
      <w:rFonts w:asciiTheme="majorHAnsi" w:eastAsiaTheme="majorEastAsia" w:hAnsiTheme="majorHAnsi" w:cstheme="majorBidi"/>
      <w:b/>
      <w:bCs/>
      <w:color w:val="53565A" w:themeColor="accent1"/>
      <w:sz w:val="26"/>
      <w:szCs w:val="26"/>
      <w:lang w:val="en-NZ"/>
    </w:rPr>
  </w:style>
  <w:style w:type="character" w:styleId="Emphasis">
    <w:name w:val="Emphasis"/>
    <w:uiPriority w:val="20"/>
    <w:qFormat/>
    <w:rsid w:val="00176949"/>
    <w:rPr>
      <w:rFonts w:ascii="Verdana" w:hAnsi="Verdana"/>
      <w:i/>
      <w:iCs/>
    </w:rPr>
  </w:style>
  <w:style w:type="paragraph" w:styleId="NoSpacing">
    <w:name w:val="No Spacing"/>
    <w:autoRedefine/>
    <w:uiPriority w:val="1"/>
    <w:qFormat/>
    <w:rsid w:val="003C17EA"/>
    <w:pPr>
      <w:ind w:left="360"/>
    </w:pPr>
    <w:rPr>
      <w:rFonts w:ascii="Verdana" w:eastAsiaTheme="minorHAnsi" w:hAnsi="Verdana"/>
      <w:sz w:val="20"/>
      <w:szCs w:val="22"/>
      <w:lang w:val="en-NZ"/>
    </w:rPr>
  </w:style>
  <w:style w:type="character" w:styleId="CommentReference">
    <w:name w:val="annotation reference"/>
    <w:basedOn w:val="DefaultParagraphFont"/>
    <w:uiPriority w:val="99"/>
    <w:semiHidden/>
    <w:unhideWhenUsed/>
    <w:rsid w:val="00DB10B1"/>
    <w:rPr>
      <w:sz w:val="16"/>
      <w:szCs w:val="16"/>
    </w:rPr>
  </w:style>
  <w:style w:type="paragraph" w:styleId="CommentText">
    <w:name w:val="annotation text"/>
    <w:basedOn w:val="Normal"/>
    <w:link w:val="CommentTextChar"/>
    <w:uiPriority w:val="99"/>
    <w:semiHidden/>
    <w:unhideWhenUsed/>
    <w:rsid w:val="00DB10B1"/>
    <w:pPr>
      <w:spacing w:line="240" w:lineRule="auto"/>
    </w:pPr>
    <w:rPr>
      <w:sz w:val="20"/>
      <w:szCs w:val="20"/>
    </w:rPr>
  </w:style>
  <w:style w:type="character" w:customStyle="1" w:styleId="CommentTextChar">
    <w:name w:val="Comment Text Char"/>
    <w:basedOn w:val="DefaultParagraphFont"/>
    <w:link w:val="CommentText"/>
    <w:uiPriority w:val="99"/>
    <w:semiHidden/>
    <w:rsid w:val="00DB10B1"/>
    <w:rPr>
      <w:rFonts w:eastAsiaTheme="minorHAnsi"/>
      <w:sz w:val="20"/>
      <w:szCs w:val="20"/>
      <w:lang w:val="en-NZ"/>
    </w:rPr>
  </w:style>
  <w:style w:type="paragraph" w:styleId="CommentSubject">
    <w:name w:val="annotation subject"/>
    <w:basedOn w:val="CommentText"/>
    <w:next w:val="CommentText"/>
    <w:link w:val="CommentSubjectChar"/>
    <w:uiPriority w:val="99"/>
    <w:semiHidden/>
    <w:unhideWhenUsed/>
    <w:rsid w:val="00DB10B1"/>
    <w:rPr>
      <w:b/>
      <w:bCs/>
    </w:rPr>
  </w:style>
  <w:style w:type="character" w:customStyle="1" w:styleId="CommentSubjectChar">
    <w:name w:val="Comment Subject Char"/>
    <w:basedOn w:val="CommentTextChar"/>
    <w:link w:val="CommentSubject"/>
    <w:uiPriority w:val="99"/>
    <w:semiHidden/>
    <w:rsid w:val="00DB10B1"/>
    <w:rPr>
      <w:rFonts w:eastAsiaTheme="minorHAnsi"/>
      <w:b/>
      <w:bCs/>
      <w:sz w:val="20"/>
      <w:szCs w:val="20"/>
      <w:lang w:val="en-NZ"/>
    </w:rPr>
  </w:style>
  <w:style w:type="paragraph" w:styleId="FootnoteText">
    <w:name w:val="footnote text"/>
    <w:basedOn w:val="Normal"/>
    <w:link w:val="FootnoteTextChar"/>
    <w:uiPriority w:val="99"/>
    <w:semiHidden/>
    <w:unhideWhenUsed/>
    <w:rsid w:val="003B1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46F"/>
    <w:rPr>
      <w:rFonts w:eastAsiaTheme="minorHAnsi"/>
      <w:sz w:val="20"/>
      <w:szCs w:val="20"/>
      <w:lang w:val="en-NZ"/>
    </w:rPr>
  </w:style>
  <w:style w:type="character" w:styleId="FootnoteReference">
    <w:name w:val="footnote reference"/>
    <w:basedOn w:val="DefaultParagraphFont"/>
    <w:uiPriority w:val="99"/>
    <w:semiHidden/>
    <w:unhideWhenUsed/>
    <w:rsid w:val="003B146F"/>
    <w:rPr>
      <w:vertAlign w:val="superscript"/>
    </w:rPr>
  </w:style>
  <w:style w:type="paragraph" w:customStyle="1" w:styleId="Default">
    <w:name w:val="Default"/>
    <w:rsid w:val="009A7C7F"/>
    <w:pPr>
      <w:autoSpaceDE w:val="0"/>
      <w:autoSpaceDN w:val="0"/>
      <w:adjustRightInd w:val="0"/>
    </w:pPr>
    <w:rPr>
      <w:rFonts w:ascii="Verdana" w:eastAsiaTheme="minorHAnsi" w:hAnsi="Verdana" w:cs="Verdana"/>
      <w:color w:val="000000"/>
      <w:lang w:val="en-NZ"/>
    </w:rPr>
  </w:style>
  <w:style w:type="paragraph" w:styleId="NormalWeb">
    <w:name w:val="Normal (Web)"/>
    <w:basedOn w:val="Normal"/>
    <w:uiPriority w:val="99"/>
    <w:semiHidden/>
    <w:unhideWhenUsed/>
    <w:rsid w:val="00854A43"/>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C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600974">
      <w:bodyDiv w:val="1"/>
      <w:marLeft w:val="0"/>
      <w:marRight w:val="0"/>
      <w:marTop w:val="0"/>
      <w:marBottom w:val="0"/>
      <w:divBdr>
        <w:top w:val="none" w:sz="0" w:space="0" w:color="auto"/>
        <w:left w:val="none" w:sz="0" w:space="0" w:color="auto"/>
        <w:bottom w:val="none" w:sz="0" w:space="0" w:color="auto"/>
        <w:right w:val="none" w:sz="0" w:space="0" w:color="auto"/>
      </w:divBdr>
    </w:div>
    <w:div w:id="934946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cklandartgallery.com/" TargetMode="External"/><Relationship Id="rId18" Type="http://schemas.openxmlformats.org/officeDocument/2006/relationships/hyperlink" Target="https://www.maritimemuseum.co.n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eve.hanrahan@tia.org.nz" TargetMode="External"/><Relationship Id="rId17" Type="http://schemas.openxmlformats.org/officeDocument/2006/relationships/hyperlink" Target="https://www.aucklandzoo.co.nz/" TargetMode="External"/><Relationship Id="rId2" Type="http://schemas.openxmlformats.org/officeDocument/2006/relationships/customXml" Target="../customXml/item2.xml"/><Relationship Id="rId16" Type="http://schemas.openxmlformats.org/officeDocument/2006/relationships/hyperlink" Target="https://www.aucklandstadiums.co.n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ucklandlive.co.nz/"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cklandconventions.co.n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07B773B-F429-422F-8E8B-91E6607B162A}">
    <t:Anchor>
      <t:Comment id="544870228"/>
    </t:Anchor>
    <t:History>
      <t:Event id="{FA21AFC7-BDF5-4027-92D2-976BC3C5735E}" time="2021-03-15T19:47:17Z">
        <t:Attribution userId="S::lori.keller@tia.org.nz::0069a96b-dfd4-4511-a98c-ff931c09017c" userProvider="AD" userName="Lori Keller"/>
        <t:Anchor>
          <t:Comment id="544870228"/>
        </t:Anchor>
        <t:Create/>
      </t:Event>
      <t:Event id="{B844BC1C-3813-49FF-BF7D-C8EA4C4EC008}" time="2021-03-15T19:47:17Z">
        <t:Attribution userId="S::lori.keller@tia.org.nz::0069a96b-dfd4-4511-a98c-ff931c09017c" userProvider="AD" userName="Lori Keller"/>
        <t:Anchor>
          <t:Comment id="544870228"/>
        </t:Anchor>
        <t:Assign userId="S::steve.hanrahan@tia.org.nz::949c6882-69c5-4691-8214-3d8597e6ffc2" userProvider="AD" userName="Steve Hanrahan"/>
      </t:Event>
      <t:Event id="{59303D20-F7AD-4833-AC37-8E2919DC3BFD}" time="2021-03-15T19:47:17Z">
        <t:Attribution userId="S::lori.keller@tia.org.nz::0069a96b-dfd4-4511-a98c-ff931c09017c" userProvider="AD" userName="Lori Keller"/>
        <t:Anchor>
          <t:Comment id="544870228"/>
        </t:Anchor>
        <t:SetTitle title="@Steve Hanrahan - I think this is meant to say &quot; Council recognises that business rates are too high compared to residential rates' ?"/>
      </t:Event>
    </t:History>
  </t:Task>
</t:Tasks>
</file>

<file path=word/theme/theme1.xml><?xml version="1.0" encoding="utf-8"?>
<a:theme xmlns:a="http://schemas.openxmlformats.org/drawingml/2006/main" name="TIA Theme">
  <a:themeElements>
    <a:clrScheme name="TIA Theme">
      <a:dk1>
        <a:srgbClr val="00BFD7"/>
      </a:dk1>
      <a:lt1>
        <a:sysClr val="window" lastClr="FFFFFF"/>
      </a:lt1>
      <a:dk2>
        <a:srgbClr val="53565A"/>
      </a:dk2>
      <a:lt2>
        <a:srgbClr val="FFFFFF"/>
      </a:lt2>
      <a:accent1>
        <a:srgbClr val="53565A"/>
      </a:accent1>
      <a:accent2>
        <a:srgbClr val="D0D0CE"/>
      </a:accent2>
      <a:accent3>
        <a:srgbClr val="00BFD7"/>
      </a:accent3>
      <a:accent4>
        <a:srgbClr val="87BA55"/>
      </a:accent4>
      <a:accent5>
        <a:srgbClr val="7E838A"/>
      </a:accent5>
      <a:accent6>
        <a:srgbClr val="BB1B51"/>
      </a:accent6>
      <a:hlink>
        <a:srgbClr val="D0D0CE"/>
      </a:hlink>
      <a:folHlink>
        <a:srgbClr val="00BFD7"/>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c2924403-72b5-4310-bfc2-924538f1e15e" xsi:nil="true"/>
    <MigrationWizId xmlns="c2924403-72b5-4310-bfc2-924538f1e15e" xsi:nil="true"/>
    <MigrationWizIdPermissions xmlns="c2924403-72b5-4310-bfc2-924538f1e15e" xsi:nil="true"/>
    <MigrationWizIdPermissionLevels xmlns="c2924403-72b5-4310-bfc2-924538f1e15e" xsi:nil="true"/>
    <MigrationWizIdDocumentLibraryPermissions xmlns="c2924403-72b5-4310-bfc2-924538f1e15e" xsi:nil="true"/>
    <Company xmlns="c2924403-72b5-4310-bfc2-924538f1e15e" xsi:nil="true"/>
    <imageType xmlns="c2924403-72b5-4310-bfc2-924538f1e15e"/>
    <Photographer xmlns="c2924403-72b5-4310-bfc2-924538f1e15e" xsi:nil="true"/>
    <Department xmlns="c2924403-72b5-4310-bfc2-924538f1e15e">
      <Url xsi:nil="true"/>
      <Description xsi:nil="true"/>
    </Department>
    <Event xmlns="c2924403-72b5-4310-bfc2-924538f1e15e" xsi:nil="true"/>
    <Location xmlns="c2924403-72b5-4310-bfc2-924538f1e15e" xsi:nil="true"/>
    <SharedWithUsers xmlns="a60b2388-36bc-49b1-bcd7-e11c1ba7347c">
      <UserInfo>
        <DisplayName>Steve Hanrahan</DisplayName>
        <AccountId>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0F57136EE6FF4CBD7618CD9C7581CD" ma:contentTypeVersion="39" ma:contentTypeDescription="Create a new document." ma:contentTypeScope="" ma:versionID="03466851def653c0f43d8437b4b159ef">
  <xsd:schema xmlns:xsd="http://www.w3.org/2001/XMLSchema" xmlns:xs="http://www.w3.org/2001/XMLSchema" xmlns:p="http://schemas.microsoft.com/office/2006/metadata/properties" xmlns:ns2="c2924403-72b5-4310-bfc2-924538f1e15e" xmlns:ns3="a60b2388-36bc-49b1-bcd7-e11c1ba7347c" targetNamespace="http://schemas.microsoft.com/office/2006/metadata/properties" ma:root="true" ma:fieldsID="bfd1931d9520d78e1b1c88fd53971af8" ns2:_="" ns3:_="">
    <xsd:import namespace="c2924403-72b5-4310-bfc2-924538f1e15e"/>
    <xsd:import namespace="a60b2388-36bc-49b1-bcd7-e11c1ba7347c"/>
    <xsd:element name="properties">
      <xsd:complexType>
        <xsd:sequence>
          <xsd:element name="documentManagement">
            <xsd:complexType>
              <xsd:all>
                <xsd:element ref="ns2:imageType" minOccurs="0"/>
                <xsd:element ref="ns2:Photographer" minOccurs="0"/>
                <xsd:element ref="ns2:Company" minOccurs="0"/>
                <xsd:element ref="ns2:Event" minOccurs="0"/>
                <xsd:element ref="ns2: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Departmen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4403-72b5-4310-bfc2-924538f1e15e" elementFormDefault="qualified">
    <xsd:import namespace="http://schemas.microsoft.com/office/2006/documentManagement/types"/>
    <xsd:import namespace="http://schemas.microsoft.com/office/infopath/2007/PartnerControls"/>
    <xsd:element name="imageType" ma:index="1" nillable="true" ma:displayName="Image tags" ma:description="Tags" ma:format="Dropdown" ma:internalName="imageType">
      <xsd:complexType>
        <xsd:complexContent>
          <xsd:extension base="dms:MultiChoiceFillIn">
            <xsd:sequence>
              <xsd:element name="Value" maxOccurs="unbounded" minOccurs="0" nillable="true">
                <xsd:simpleType>
                  <xsd:union memberTypes="dms:Text">
                    <xsd:simpleType>
                      <xsd:restriction base="dms:Choice">
                        <xsd:enumeration value="Accommodation"/>
                        <xsd:enumeration value="Adventure"/>
                        <xsd:enumeration value="Animal"/>
                        <xsd:enumeration value="Air"/>
                        <xsd:enumeration value="Attractions"/>
                        <xsd:enumeration value="Beach"/>
                        <xsd:enumeration value="Boat"/>
                        <xsd:enumeration value="Camping"/>
                        <xsd:enumeration value="City"/>
                        <xsd:enumeration value="Conservation"/>
                        <xsd:enumeration value="Cruise"/>
                        <xsd:enumeration value="Cultural"/>
                        <xsd:enumeration value="Holiday Park"/>
                        <xsd:enumeration value="Hotel"/>
                        <xsd:enumeration value="Land"/>
                        <xsd:enumeration value="Māori"/>
                        <xsd:enumeration value="People"/>
                        <xsd:enumeration value="Transport"/>
                        <xsd:enumeration value="Water"/>
                      </xsd:restriction>
                    </xsd:simpleType>
                  </xsd:union>
                </xsd:simpleType>
              </xsd:element>
            </xsd:sequence>
          </xsd:extension>
        </xsd:complexContent>
      </xsd:complexType>
    </xsd:element>
    <xsd:element name="Photographer" ma:index="2" nillable="true" ma:displayName="Photographer" ma:internalName="Photographer" ma:readOnly="false">
      <xsd:simpleType>
        <xsd:restriction base="dms:Text">
          <xsd:maxLength value="255"/>
        </xsd:restriction>
      </xsd:simpleType>
    </xsd:element>
    <xsd:element name="Company" ma:index="3" nillable="true" ma:displayName="Company" ma:internalName="Company" ma:readOnly="false">
      <xsd:simpleType>
        <xsd:restriction base="dms:Text">
          <xsd:maxLength value="255"/>
        </xsd:restriction>
      </xsd:simpleType>
    </xsd:element>
    <xsd:element name="Event" ma:index="4" nillable="true" ma:displayName="Event" ma:format="Dropdown" ma:internalName="Event" ma:readOnly="false">
      <xsd:simpleType>
        <xsd:restriction base="dms:Text">
          <xsd:maxLength value="255"/>
        </xsd:restriction>
      </xsd:simpleType>
    </xsd:element>
    <xsd:element name="Location" ma:index="5" nillable="true" ma:displayName="Location" ma:internalName="Location">
      <xsd:simpleType>
        <xsd:restriction base="dms:Text">
          <xsd:maxLength value="255"/>
        </xsd:restriction>
      </xsd:simpleType>
    </xsd:element>
    <xsd:element name="MigrationWizId" ma:index="7" nillable="true" ma:displayName="MigrationWizId" ma:hidden="true" ma:internalName="MigrationWizId" ma:readOnly="false">
      <xsd:simpleType>
        <xsd:restriction base="dms:Text"/>
      </xsd:simpleType>
    </xsd:element>
    <xsd:element name="MigrationWizIdPermissions" ma:index="8" nillable="true" ma:displayName="MigrationWizIdPermissions" ma:hidden="true" ma:internalName="MigrationWizIdPermissions" ma:readOnly="false">
      <xsd:simpleType>
        <xsd:restriction base="dms:Text"/>
      </xsd:simpleType>
    </xsd:element>
    <xsd:element name="MigrationWizIdPermissionLevels" ma:index="9" nillable="true" ma:displayName="MigrationWizIdPermissionLevels" ma:hidden="true" ma:internalName="MigrationWizIdPermissionLevels" ma:readOnly="false">
      <xsd:simpleType>
        <xsd:restriction base="dms:Text"/>
      </xsd:simpleType>
    </xsd:element>
    <xsd:element name="MigrationWizIdDocumentLibraryPermissions" ma:index="10" nillable="true" ma:displayName="MigrationWizIdDocumentLibraryPermissions" ma:hidden="true" ma:internalName="MigrationWizIdDocumentLibraryPermissions" ma:readOnly="false">
      <xsd:simpleType>
        <xsd:restriction base="dms:Text"/>
      </xsd:simpleType>
    </xsd:element>
    <xsd:element name="MigrationWizIdSecurityGroups" ma:index="11" nillable="true" ma:displayName="MigrationWizIdSecurityGroups" ma:hidden="true" ma:internalName="MigrationWizIdSecurityGroups" ma:readOnly="false">
      <xsd:simpleType>
        <xsd:restriction base="dms:Text"/>
      </xsd:simpleType>
    </xsd:element>
    <xsd:element name="Department" ma:index="12" nillable="true" ma:displayName="Department" ma:format="Image" ma:hidden="true" ma:internalName="Depart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0b2388-36bc-49b1-bcd7-e11c1ba7347c"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C3838-AC9F-4F43-8576-09A397D2B54C}">
  <ds:schemaRefs>
    <ds:schemaRef ds:uri="http://schemas.openxmlformats.org/officeDocument/2006/bibliography"/>
  </ds:schemaRefs>
</ds:datastoreItem>
</file>

<file path=customXml/itemProps2.xml><?xml version="1.0" encoding="utf-8"?>
<ds:datastoreItem xmlns:ds="http://schemas.openxmlformats.org/officeDocument/2006/customXml" ds:itemID="{661F54F0-5E37-4B9B-9938-0DCA326BDC22}">
  <ds:schemaRefs>
    <ds:schemaRef ds:uri="http://schemas.microsoft.com/sharepoint/v3/contenttype/forms"/>
  </ds:schemaRefs>
</ds:datastoreItem>
</file>

<file path=customXml/itemProps3.xml><?xml version="1.0" encoding="utf-8"?>
<ds:datastoreItem xmlns:ds="http://schemas.openxmlformats.org/officeDocument/2006/customXml" ds:itemID="{80379BBC-C7A5-43E4-B817-6F65C80B2A03}">
  <ds:schemaRefs>
    <ds:schemaRef ds:uri="http://schemas.microsoft.com/office/2006/metadata/properties"/>
    <ds:schemaRef ds:uri="http://schemas.microsoft.com/office/infopath/2007/PartnerControls"/>
    <ds:schemaRef ds:uri="c2924403-72b5-4310-bfc2-924538f1e15e"/>
    <ds:schemaRef ds:uri="a60b2388-36bc-49b1-bcd7-e11c1ba7347c"/>
  </ds:schemaRefs>
</ds:datastoreItem>
</file>

<file path=customXml/itemProps4.xml><?xml version="1.0" encoding="utf-8"?>
<ds:datastoreItem xmlns:ds="http://schemas.openxmlformats.org/officeDocument/2006/customXml" ds:itemID="{F9DD5C47-7412-48AC-908F-1168AB69C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4403-72b5-4310-bfc2-924538f1e15e"/>
    <ds:schemaRef ds:uri="a60b2388-36bc-49b1-bcd7-e11c1ba73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2427</Words>
  <Characters>13839</Characters>
  <Application>Microsoft Office Word</Application>
  <DocSecurity>0</DocSecurity>
  <Lines>115</Lines>
  <Paragraphs>32</Paragraphs>
  <ScaleCrop>false</ScaleCrop>
  <Company>Hewlett-Packard Company</Company>
  <LinksUpToDate>false</LinksUpToDate>
  <CharactersWithSpaces>16234</CharactersWithSpaces>
  <SharedDoc>false</SharedDoc>
  <HLinks>
    <vt:vector size="42" baseType="variant">
      <vt:variant>
        <vt:i4>393218</vt:i4>
      </vt:variant>
      <vt:variant>
        <vt:i4>15</vt:i4>
      </vt:variant>
      <vt:variant>
        <vt:i4>0</vt:i4>
      </vt:variant>
      <vt:variant>
        <vt:i4>5</vt:i4>
      </vt:variant>
      <vt:variant>
        <vt:lpwstr>https://www.maritimemuseum.co.nz/</vt:lpwstr>
      </vt:variant>
      <vt:variant>
        <vt:lpwstr/>
      </vt:variant>
      <vt:variant>
        <vt:i4>3932258</vt:i4>
      </vt:variant>
      <vt:variant>
        <vt:i4>12</vt:i4>
      </vt:variant>
      <vt:variant>
        <vt:i4>0</vt:i4>
      </vt:variant>
      <vt:variant>
        <vt:i4>5</vt:i4>
      </vt:variant>
      <vt:variant>
        <vt:lpwstr>https://www.aucklandzoo.co.nz/</vt:lpwstr>
      </vt:variant>
      <vt:variant>
        <vt:lpwstr/>
      </vt:variant>
      <vt:variant>
        <vt:i4>7471225</vt:i4>
      </vt:variant>
      <vt:variant>
        <vt:i4>9</vt:i4>
      </vt:variant>
      <vt:variant>
        <vt:i4>0</vt:i4>
      </vt:variant>
      <vt:variant>
        <vt:i4>5</vt:i4>
      </vt:variant>
      <vt:variant>
        <vt:lpwstr>https://www.aucklandstadiums.co.nz/</vt:lpwstr>
      </vt:variant>
      <vt:variant>
        <vt:lpwstr/>
      </vt:variant>
      <vt:variant>
        <vt:i4>6815861</vt:i4>
      </vt:variant>
      <vt:variant>
        <vt:i4>6</vt:i4>
      </vt:variant>
      <vt:variant>
        <vt:i4>0</vt:i4>
      </vt:variant>
      <vt:variant>
        <vt:i4>5</vt:i4>
      </vt:variant>
      <vt:variant>
        <vt:lpwstr>https://www.aucklandlive.co.nz/</vt:lpwstr>
      </vt:variant>
      <vt:variant>
        <vt:lpwstr/>
      </vt:variant>
      <vt:variant>
        <vt:i4>2293879</vt:i4>
      </vt:variant>
      <vt:variant>
        <vt:i4>3</vt:i4>
      </vt:variant>
      <vt:variant>
        <vt:i4>0</vt:i4>
      </vt:variant>
      <vt:variant>
        <vt:i4>5</vt:i4>
      </vt:variant>
      <vt:variant>
        <vt:lpwstr>https://www.aucklandconventions.co.nz/</vt:lpwstr>
      </vt:variant>
      <vt:variant>
        <vt:lpwstr/>
      </vt:variant>
      <vt:variant>
        <vt:i4>3670123</vt:i4>
      </vt:variant>
      <vt:variant>
        <vt:i4>0</vt:i4>
      </vt:variant>
      <vt:variant>
        <vt:i4>0</vt:i4>
      </vt:variant>
      <vt:variant>
        <vt:i4>5</vt:i4>
      </vt:variant>
      <vt:variant>
        <vt:lpwstr>https://www.aucklandartgallery.com/</vt:lpwstr>
      </vt:variant>
      <vt:variant>
        <vt:lpwstr/>
      </vt:variant>
      <vt:variant>
        <vt:i4>3538944</vt:i4>
      </vt:variant>
      <vt:variant>
        <vt:i4>0</vt:i4>
      </vt:variant>
      <vt:variant>
        <vt:i4>0</vt:i4>
      </vt:variant>
      <vt:variant>
        <vt:i4>5</vt:i4>
      </vt:variant>
      <vt:variant>
        <vt:lpwstr>mailto:steve.hanrahan@tia.org.nz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van Dijken</dc:creator>
  <cp:keywords/>
  <cp:lastModifiedBy>Steve Hanrahan</cp:lastModifiedBy>
  <cp:revision>163</cp:revision>
  <cp:lastPrinted>2016-03-22T23:48:00Z</cp:lastPrinted>
  <dcterms:created xsi:type="dcterms:W3CDTF">2021-03-15T20:58:00Z</dcterms:created>
  <dcterms:modified xsi:type="dcterms:W3CDTF">2021-03-16T22:20:00Z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0x010100A40F57136EE6FF4CBD7618CD9C7581CD</vt:lpwstr>
  </property>
  <property fmtid="{D5CDD505-2E9C-101B-9397-08002B2CF9AE}" pid="3" name="Order">
    <vt:r8>20874400</vt:r8>
  </property>
</Properties>
</file>